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761755">
      <w:pPr>
        <w:pStyle w:val="3"/>
        <w:spacing w:before="104" w:after="0" w:line="218" w:lineRule="auto"/>
        <w:ind w:left="0" w:leftChars="0" w:right="0" w:rightChars="0" w:firstLineChars="300"/>
        <w:rPr>
          <w:rFonts w:hint="eastAsia" w:ascii="微软雅黑" w:hAnsi="微软雅黑" w:eastAsia="微软雅黑" w:cs="微软雅黑"/>
          <w:b w:val="0"/>
          <w:bCs w:val="0"/>
          <w:spacing w:val="-3"/>
          <w:sz w:val="44"/>
          <w:szCs w:val="44"/>
        </w:rPr>
      </w:pPr>
      <w:bookmarkStart w:id="0" w:name="_GoBack"/>
      <w:bookmarkEnd w:id="0"/>
      <w:r>
        <w:rPr>
          <w:rFonts w:hint="eastAsia" w:ascii="微软雅黑" w:hAnsi="微软雅黑" w:eastAsia="微软雅黑" w:cs="微软雅黑"/>
          <w:b w:val="0"/>
          <w:bCs w:val="0"/>
          <w:spacing w:val="-3"/>
          <w:sz w:val="44"/>
          <w:szCs w:val="44"/>
        </w:rPr>
        <w:t>机械电子工程学院研究生学业奖学金</w:t>
      </w:r>
    </w:p>
    <w:p w14:paraId="36AB835E">
      <w:pPr>
        <w:pStyle w:val="3"/>
        <w:spacing w:before="104" w:after="0" w:line="218" w:lineRule="auto"/>
        <w:ind w:left="0" w:leftChars="0" w:right="0" w:rightChars="0" w:firstLineChars="600"/>
        <w:rPr>
          <w:rFonts w:hint="eastAsia" w:ascii="微软雅黑" w:hAnsi="微软雅黑" w:eastAsia="微软雅黑" w:cs="微软雅黑"/>
          <w:b w:val="0"/>
          <w:bCs w:val="0"/>
          <w:sz w:val="44"/>
          <w:szCs w:val="44"/>
          <w:lang w:eastAsia="zh-CN"/>
        </w:rPr>
      </w:pPr>
      <w:r>
        <w:rPr>
          <w:rFonts w:hint="eastAsia" w:ascii="微软雅黑" w:hAnsi="微软雅黑" w:eastAsia="微软雅黑" w:cs="微软雅黑"/>
          <w:b w:val="0"/>
          <w:bCs w:val="0"/>
          <w:spacing w:val="-3"/>
          <w:sz w:val="44"/>
          <w:szCs w:val="44"/>
          <w:lang w:eastAsia="zh-CN"/>
        </w:rPr>
        <w:t>管理实施办法（修订）</w:t>
      </w:r>
    </w:p>
    <w:p w14:paraId="10EDA21D">
      <w:pPr>
        <w:spacing w:line="240" w:lineRule="auto"/>
        <w:rPr>
          <w:rFonts w:hint="eastAsia" w:ascii="Arial" w:hAnsi="Arial" w:eastAsia="微软雅黑" w:cs="微软雅黑"/>
          <w:b w:val="0"/>
          <w:bCs w:val="0"/>
          <w:sz w:val="21"/>
          <w:szCs w:val="44"/>
          <w:lang w:eastAsia="zh-CN"/>
        </w:rPr>
      </w:pPr>
    </w:p>
    <w:p w14:paraId="78ABA708">
      <w:pPr>
        <w:spacing w:line="240" w:lineRule="auto"/>
        <w:rPr>
          <w:rFonts w:ascii="Arial" w:hAnsi="Arial"/>
          <w:b w:val="0"/>
          <w:bCs w:val="0"/>
          <w:sz w:val="32"/>
          <w:szCs w:val="32"/>
        </w:rPr>
      </w:pPr>
    </w:p>
    <w:p w14:paraId="2084C969">
      <w:pPr>
        <w:kinsoku/>
        <w:spacing w:line="360" w:lineRule="auto"/>
        <w:ind w:left="0" w:leftChars="0" w:right="0" w:rightChars="0" w:firstLineChars="200"/>
        <w:jc w:val="center"/>
        <w:rPr>
          <w:rFonts w:hint="eastAsia" w:ascii="黑体" w:hAnsi="黑体" w:eastAsia="黑体" w:cs="黑体"/>
          <w:sz w:val="32"/>
          <w:szCs w:val="32"/>
        </w:rPr>
      </w:pPr>
      <w:r>
        <w:rPr>
          <w:rFonts w:hint="eastAsia" w:ascii="黑体" w:hAnsi="黑体" w:eastAsia="黑体" w:cs="黑体"/>
          <w:b w:val="0"/>
          <w:bCs w:val="0"/>
          <w:spacing w:val="0"/>
          <w:sz w:val="32"/>
          <w:szCs w:val="32"/>
        </w:rPr>
        <w:t>第一章</w:t>
      </w:r>
      <w:r>
        <w:rPr>
          <w:rFonts w:hint="eastAsia" w:ascii="黑体" w:hAnsi="黑体" w:eastAsia="黑体" w:cs="黑体"/>
          <w:spacing w:val="0"/>
          <w:sz w:val="32"/>
          <w:szCs w:val="32"/>
        </w:rPr>
        <w:t xml:space="preserve">  </w:t>
      </w:r>
      <w:r>
        <w:rPr>
          <w:rFonts w:hint="eastAsia" w:ascii="黑体" w:hAnsi="黑体" w:eastAsia="黑体" w:cs="黑体"/>
          <w:b w:val="0"/>
          <w:bCs w:val="0"/>
          <w:spacing w:val="0"/>
          <w:sz w:val="32"/>
          <w:szCs w:val="32"/>
        </w:rPr>
        <w:t>总则</w:t>
      </w:r>
    </w:p>
    <w:p w14:paraId="300211B4">
      <w:pPr>
        <w:kinsoku/>
        <w:spacing w:line="360" w:lineRule="auto"/>
        <w:ind w:left="0" w:leftChars="0" w:right="0" w:rightChars="0" w:firstLineChars="200"/>
        <w:jc w:val="both"/>
        <w:rPr>
          <w:rFonts w:hint="eastAsia" w:ascii="仿宋" w:hAnsi="仿宋" w:eastAsia="仿宋" w:cs="仿宋"/>
          <w:sz w:val="32"/>
          <w:szCs w:val="32"/>
          <w:highlight w:val="none"/>
        </w:rPr>
      </w:pPr>
      <w:r>
        <w:rPr>
          <w:rFonts w:hint="eastAsia" w:ascii="黑体" w:hAnsi="黑体" w:eastAsia="黑体" w:cs="黑体"/>
          <w:b w:val="0"/>
          <w:bCs w:val="0"/>
          <w:spacing w:val="0"/>
          <w:sz w:val="32"/>
          <w:szCs w:val="32"/>
        </w:rPr>
        <w:t>第一条</w:t>
      </w:r>
      <w:r>
        <w:rPr>
          <w:rFonts w:hint="eastAsia" w:ascii="方正公文仿宋" w:hAnsi="方正公文仿宋" w:eastAsia="方正公文仿宋" w:cs="方正公文仿宋"/>
          <w:b w:val="0"/>
          <w:bCs w:val="0"/>
          <w:spacing w:val="0"/>
          <w:sz w:val="32"/>
          <w:szCs w:val="32"/>
          <w:lang w:eastAsia="zh-CN"/>
        </w:rPr>
        <w:t xml:space="preserve"> </w:t>
      </w:r>
      <w:r>
        <w:rPr>
          <w:rFonts w:hint="eastAsia" w:ascii="仿宋" w:hAnsi="仿宋" w:eastAsia="仿宋" w:cs="仿宋"/>
          <w:spacing w:val="0"/>
          <w:sz w:val="32"/>
          <w:szCs w:val="32"/>
        </w:rPr>
        <w:t>为激励研究生勤奋学习、潜心科研、勇于创新、积极进取</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更好地支持</w:t>
      </w:r>
      <w:r>
        <w:rPr>
          <w:rFonts w:hint="eastAsia" w:ascii="仿宋" w:hAnsi="仿宋" w:eastAsia="仿宋" w:cs="仿宋"/>
          <w:spacing w:val="0"/>
          <w:sz w:val="32"/>
          <w:szCs w:val="32"/>
          <w:lang w:eastAsia="zh-CN"/>
        </w:rPr>
        <w:t>其</w:t>
      </w:r>
      <w:r>
        <w:rPr>
          <w:rFonts w:hint="eastAsia" w:ascii="仿宋" w:hAnsi="仿宋" w:eastAsia="仿宋" w:cs="仿宋"/>
          <w:spacing w:val="0"/>
          <w:sz w:val="32"/>
          <w:szCs w:val="32"/>
        </w:rPr>
        <w:t>顺利完成学业，根据《</w:t>
      </w:r>
      <w:r>
        <w:rPr>
          <w:rFonts w:hint="eastAsia" w:ascii="仿宋" w:hAnsi="仿宋" w:eastAsia="仿宋" w:cs="仿宋"/>
          <w:spacing w:val="0"/>
          <w:sz w:val="32"/>
          <w:szCs w:val="32"/>
          <w:lang w:eastAsia="zh-CN"/>
        </w:rPr>
        <w:t>江苏省研究生学业奖学金实施细则</w:t>
      </w:r>
      <w:r>
        <w:rPr>
          <w:rFonts w:hint="eastAsia" w:ascii="仿宋" w:hAnsi="仿宋" w:eastAsia="仿宋" w:cs="仿宋"/>
          <w:spacing w:val="0"/>
          <w:sz w:val="32"/>
          <w:szCs w:val="32"/>
        </w:rPr>
        <w:t>》（</w:t>
      </w:r>
      <w:r>
        <w:rPr>
          <w:rFonts w:hint="eastAsia" w:ascii="仿宋" w:hAnsi="仿宋" w:eastAsia="仿宋" w:cs="仿宋"/>
          <w:spacing w:val="0"/>
          <w:sz w:val="32"/>
          <w:szCs w:val="32"/>
          <w:lang w:eastAsia="zh-CN"/>
        </w:rPr>
        <w:t>苏教</w:t>
      </w:r>
      <w:r>
        <w:rPr>
          <w:rFonts w:hint="eastAsia" w:ascii="仿宋" w:hAnsi="仿宋" w:eastAsia="仿宋" w:cs="仿宋"/>
          <w:color w:val="000000"/>
          <w:kern w:val="0"/>
          <w:sz w:val="32"/>
          <w:szCs w:val="32"/>
          <w:lang w:eastAsia="zh-CN" w:bidi="ar"/>
        </w:rPr>
        <w:t>助〔2021〕1号</w:t>
      </w:r>
      <w:r>
        <w:rPr>
          <w:rFonts w:hint="eastAsia" w:ascii="仿宋" w:hAnsi="仿宋" w:eastAsia="仿宋" w:cs="仿宋"/>
          <w:spacing w:val="0"/>
          <w:sz w:val="32"/>
          <w:szCs w:val="32"/>
          <w:lang w:eastAsia="zh-CN"/>
        </w:rPr>
        <w:t>）文件精神，为做好研究生学业奖学金评定工作，特制定本办法。</w:t>
      </w:r>
    </w:p>
    <w:p w14:paraId="2CC5789B">
      <w:pPr>
        <w:spacing w:line="360" w:lineRule="auto"/>
        <w:ind w:left="0" w:leftChars="0" w:right="0" w:rightChars="0" w:firstLineChars="200"/>
        <w:jc w:val="both"/>
        <w:rPr>
          <w:rFonts w:hint="eastAsia" w:ascii="仿宋" w:hAnsi="仿宋" w:eastAsia="仿宋" w:cs="仿宋"/>
          <w:sz w:val="32"/>
          <w:szCs w:val="32"/>
        </w:rPr>
      </w:pPr>
      <w:r>
        <w:rPr>
          <w:rFonts w:hint="eastAsia" w:ascii="黑体" w:hAnsi="黑体" w:eastAsia="黑体" w:cs="黑体"/>
          <w:b w:val="0"/>
          <w:bCs w:val="0"/>
          <w:sz w:val="32"/>
          <w:szCs w:val="32"/>
        </w:rPr>
        <w:t>第二条</w:t>
      </w:r>
      <w:r>
        <w:rPr>
          <w:rFonts w:hint="eastAsia" w:ascii="黑体" w:hAnsi="黑体" w:eastAsia="黑体" w:cs="黑体"/>
          <w:sz w:val="32"/>
          <w:szCs w:val="32"/>
        </w:rPr>
        <w:t xml:space="preserve"> </w:t>
      </w:r>
      <w:r>
        <w:rPr>
          <w:rFonts w:hint="eastAsia" w:ascii="仿宋" w:hAnsi="仿宋" w:eastAsia="仿宋" w:cs="仿宋"/>
          <w:sz w:val="32"/>
          <w:szCs w:val="32"/>
        </w:rPr>
        <w:t>本</w:t>
      </w:r>
      <w:r>
        <w:rPr>
          <w:rFonts w:hint="eastAsia" w:ascii="仿宋" w:hAnsi="仿宋" w:eastAsia="仿宋" w:cs="仿宋"/>
          <w:sz w:val="32"/>
          <w:szCs w:val="32"/>
          <w:lang w:eastAsia="zh-CN"/>
        </w:rPr>
        <w:t>办法</w:t>
      </w:r>
      <w:r>
        <w:rPr>
          <w:rFonts w:hint="eastAsia" w:ascii="仿宋" w:hAnsi="仿宋" w:eastAsia="仿宋" w:cs="仿宋"/>
          <w:sz w:val="32"/>
          <w:szCs w:val="32"/>
        </w:rPr>
        <w:t>所称研究生是指取得正式学籍的学制内全日制研究生</w:t>
      </w:r>
      <w:r>
        <w:rPr>
          <w:rFonts w:hint="eastAsia" w:ascii="仿宋" w:hAnsi="仿宋" w:eastAsia="仿宋" w:cs="仿宋"/>
          <w:sz w:val="32"/>
          <w:szCs w:val="32"/>
          <w:lang w:eastAsia="zh-CN"/>
        </w:rPr>
        <w:t>，</w:t>
      </w:r>
      <w:r>
        <w:rPr>
          <w:rFonts w:hint="eastAsia" w:ascii="仿宋" w:hAnsi="仿宋" w:eastAsia="仿宋" w:cs="仿宋"/>
          <w:sz w:val="32"/>
          <w:szCs w:val="32"/>
        </w:rPr>
        <w:t>定</w:t>
      </w:r>
      <w:r>
        <w:rPr>
          <w:rFonts w:hint="eastAsia" w:ascii="仿宋" w:hAnsi="仿宋" w:eastAsia="仿宋" w:cs="仿宋"/>
          <w:spacing w:val="0"/>
          <w:sz w:val="32"/>
          <w:szCs w:val="32"/>
        </w:rPr>
        <w:t>向</w:t>
      </w:r>
      <w:r>
        <w:rPr>
          <w:rFonts w:hint="eastAsia" w:ascii="仿宋" w:hAnsi="仿宋" w:eastAsia="仿宋" w:cs="仿宋"/>
          <w:spacing w:val="0"/>
          <w:sz w:val="32"/>
          <w:szCs w:val="32"/>
          <w:lang w:eastAsia="zh-CN"/>
        </w:rPr>
        <w:t>培养、</w:t>
      </w:r>
      <w:r>
        <w:rPr>
          <w:rFonts w:hint="eastAsia" w:ascii="仿宋" w:hAnsi="仿宋" w:eastAsia="仿宋" w:cs="仿宋"/>
          <w:spacing w:val="0"/>
          <w:sz w:val="32"/>
          <w:szCs w:val="32"/>
        </w:rPr>
        <w:t>人事档案</w:t>
      </w:r>
      <w:r>
        <w:rPr>
          <w:rFonts w:hint="eastAsia" w:ascii="仿宋" w:hAnsi="仿宋" w:eastAsia="仿宋" w:cs="仿宋"/>
          <w:spacing w:val="0"/>
          <w:sz w:val="32"/>
          <w:szCs w:val="32"/>
          <w:lang w:eastAsia="zh-CN"/>
        </w:rPr>
        <w:t>未转入</w:t>
      </w:r>
      <w:r>
        <w:rPr>
          <w:rFonts w:hint="eastAsia" w:ascii="仿宋" w:hAnsi="仿宋" w:eastAsia="仿宋" w:cs="仿宋"/>
          <w:spacing w:val="0"/>
          <w:sz w:val="32"/>
          <w:szCs w:val="32"/>
        </w:rPr>
        <w:t>学校的研究生</w:t>
      </w:r>
      <w:r>
        <w:rPr>
          <w:rFonts w:hint="eastAsia" w:ascii="仿宋" w:hAnsi="仿宋" w:eastAsia="仿宋" w:cs="仿宋"/>
          <w:spacing w:val="0"/>
          <w:sz w:val="32"/>
          <w:szCs w:val="32"/>
          <w:lang w:eastAsia="zh-CN"/>
        </w:rPr>
        <w:t>，不纳入评选</w:t>
      </w:r>
      <w:r>
        <w:rPr>
          <w:rFonts w:hint="eastAsia" w:ascii="仿宋" w:hAnsi="仿宋" w:eastAsia="仿宋" w:cs="仿宋"/>
          <w:spacing w:val="0"/>
          <w:sz w:val="32"/>
          <w:szCs w:val="32"/>
        </w:rPr>
        <w:t>范围。</w:t>
      </w:r>
    </w:p>
    <w:p w14:paraId="18E01BF9">
      <w:pPr>
        <w:kinsoku/>
        <w:spacing w:line="360" w:lineRule="auto"/>
        <w:ind w:left="0" w:leftChars="0" w:right="0" w:rightChars="0" w:firstLineChars="200"/>
        <w:jc w:val="center"/>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第二章</w:t>
      </w:r>
      <w:r>
        <w:rPr>
          <w:rFonts w:hint="eastAsia" w:ascii="黑体" w:hAnsi="黑体" w:eastAsia="黑体" w:cs="黑体"/>
          <w:spacing w:val="0"/>
          <w:sz w:val="32"/>
          <w:szCs w:val="32"/>
        </w:rPr>
        <w:t xml:space="preserve">  </w:t>
      </w:r>
      <w:r>
        <w:rPr>
          <w:rFonts w:hint="eastAsia" w:ascii="黑体" w:hAnsi="黑体" w:eastAsia="黑体" w:cs="黑体"/>
          <w:b w:val="0"/>
          <w:bCs w:val="0"/>
          <w:spacing w:val="0"/>
          <w:sz w:val="32"/>
          <w:szCs w:val="32"/>
        </w:rPr>
        <w:t>奖励标准、比例与基本条件</w:t>
      </w:r>
    </w:p>
    <w:p w14:paraId="1A89145B">
      <w:pPr>
        <w:kinsoku/>
        <w:spacing w:line="360" w:lineRule="auto"/>
        <w:ind w:left="0" w:leftChars="0" w:right="0" w:rightChars="0" w:firstLineChars="200"/>
        <w:jc w:val="both"/>
        <w:rPr>
          <w:rFonts w:hint="eastAsia" w:ascii="仿宋" w:hAnsi="仿宋" w:eastAsia="仿宋" w:cs="仿宋"/>
          <w:b w:val="0"/>
          <w:bCs w:val="0"/>
          <w:spacing w:val="0"/>
          <w:sz w:val="32"/>
          <w:szCs w:val="32"/>
        </w:rPr>
      </w:pPr>
      <w:r>
        <w:rPr>
          <w:rFonts w:hint="eastAsia" w:ascii="黑体" w:hAnsi="黑体" w:eastAsia="黑体" w:cs="黑体"/>
          <w:b w:val="0"/>
          <w:bCs w:val="0"/>
          <w:spacing w:val="0"/>
          <w:sz w:val="32"/>
          <w:szCs w:val="32"/>
        </w:rPr>
        <w:t>第三条</w:t>
      </w:r>
      <w:r>
        <w:rPr>
          <w:rFonts w:hint="eastAsia" w:ascii="仿宋" w:hAnsi="仿宋" w:eastAsia="仿宋" w:cs="仿宋"/>
          <w:spacing w:val="0"/>
          <w:sz w:val="32"/>
          <w:szCs w:val="32"/>
        </w:rPr>
        <w:t xml:space="preserve"> 研究生学业奖学金根据收费标准</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学业成绩、科研成</w:t>
      </w:r>
      <w:r>
        <w:rPr>
          <w:rFonts w:hint="eastAsia" w:ascii="仿宋" w:hAnsi="仿宋" w:eastAsia="仿宋" w:cs="仿宋"/>
          <w:spacing w:val="0"/>
          <w:sz w:val="32"/>
          <w:szCs w:val="32"/>
          <w:lang w:eastAsia="zh-CN"/>
        </w:rPr>
        <w:t>果</w:t>
      </w:r>
      <w:r>
        <w:rPr>
          <w:rFonts w:hint="eastAsia" w:ascii="仿宋" w:hAnsi="仿宋" w:eastAsia="仿宋" w:cs="仿宋"/>
          <w:spacing w:val="0"/>
          <w:sz w:val="32"/>
          <w:szCs w:val="32"/>
        </w:rPr>
        <w:t>、社会服务以及家庭经济状况等因素</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分为三个等级</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各等级的标准和奖励比例见表1和</w:t>
      </w:r>
      <w:r>
        <w:rPr>
          <w:rFonts w:hint="eastAsia" w:ascii="仿宋" w:hAnsi="仿宋" w:eastAsia="仿宋" w:cs="仿宋"/>
          <w:spacing w:val="0"/>
          <w:sz w:val="32"/>
          <w:szCs w:val="32"/>
          <w:lang w:eastAsia="zh-CN"/>
        </w:rPr>
        <w:t>表</w:t>
      </w:r>
      <w:r>
        <w:rPr>
          <w:rFonts w:hint="eastAsia" w:ascii="仿宋" w:hAnsi="仿宋" w:eastAsia="仿宋" w:cs="仿宋"/>
          <w:spacing w:val="0"/>
          <w:sz w:val="32"/>
          <w:szCs w:val="32"/>
        </w:rPr>
        <w:t>2。</w:t>
      </w:r>
      <w:r>
        <w:rPr>
          <w:rFonts w:hint="eastAsia" w:ascii="仿宋" w:hAnsi="仿宋" w:eastAsia="仿宋" w:cs="仿宋"/>
          <w:sz w:val="32"/>
          <w:szCs w:val="32"/>
        </w:rPr>
        <w:t>学校根据各培养单位研究生人数，核定下达各培养单位研究生学业奖学金总额。</w:t>
      </w:r>
    </w:p>
    <w:p w14:paraId="40171A09">
      <w:pPr>
        <w:kinsoku/>
        <w:spacing w:line="24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b w:val="0"/>
          <w:bCs w:val="0"/>
          <w:spacing w:val="0"/>
          <w:sz w:val="32"/>
          <w:szCs w:val="32"/>
        </w:rPr>
        <w:t>表1</w:t>
      </w:r>
      <w:r>
        <w:rPr>
          <w:rFonts w:hint="eastAsia" w:ascii="仿宋" w:hAnsi="仿宋" w:eastAsia="仿宋" w:cs="仿宋"/>
          <w:b w:val="0"/>
          <w:bCs w:val="0"/>
          <w:spacing w:val="0"/>
          <w:sz w:val="32"/>
          <w:szCs w:val="32"/>
          <w:lang w:eastAsia="zh-CN"/>
        </w:rPr>
        <w:t xml:space="preserve"> </w:t>
      </w:r>
      <w:r>
        <w:rPr>
          <w:rFonts w:hint="eastAsia" w:ascii="仿宋" w:hAnsi="仿宋" w:eastAsia="仿宋" w:cs="仿宋"/>
          <w:b w:val="0"/>
          <w:bCs w:val="0"/>
          <w:spacing w:val="0"/>
          <w:sz w:val="32"/>
          <w:szCs w:val="32"/>
        </w:rPr>
        <w:t>博士研究生学业奖学金等级、标准、奖励比例</w:t>
      </w:r>
    </w:p>
    <w:tbl>
      <w:tblPr>
        <w:tblStyle w:val="5"/>
        <w:tblW w:w="5000" w:type="pct"/>
        <w:tblInd w:w="-11" w:type="dxa"/>
        <w:tblLayout w:type="fixed"/>
        <w:tblCellMar>
          <w:top w:w="0" w:type="dxa"/>
          <w:left w:w="0" w:type="dxa"/>
          <w:bottom w:w="0" w:type="dxa"/>
          <w:right w:w="0" w:type="dxa"/>
        </w:tblCellMar>
      </w:tblPr>
      <w:tblGrid>
        <w:gridCol w:w="1753"/>
        <w:gridCol w:w="1405"/>
        <w:gridCol w:w="2612"/>
        <w:gridCol w:w="2572"/>
      </w:tblGrid>
      <w:tr w14:paraId="117942E4">
        <w:tblPrEx>
          <w:tblCellMar>
            <w:top w:w="0" w:type="dxa"/>
            <w:left w:w="0" w:type="dxa"/>
            <w:bottom w:w="0" w:type="dxa"/>
            <w:right w:w="0" w:type="dxa"/>
          </w:tblCellMar>
        </w:tblPrEx>
        <w:trPr>
          <w:trHeight w:val="731" w:hRule="atLeast"/>
        </w:trPr>
        <w:tc>
          <w:tcPr>
            <w:tcW w:w="1752" w:type="dxa"/>
            <w:tcBorders>
              <w:top w:val="single" w:color="000000" w:sz="2" w:space="0"/>
              <w:left w:val="single" w:color="000000" w:sz="2" w:space="0"/>
              <w:bottom w:val="single" w:color="000000" w:sz="2" w:space="0"/>
              <w:right w:val="single" w:color="000000" w:sz="2" w:space="0"/>
            </w:tcBorders>
            <w:vAlign w:val="center"/>
          </w:tcPr>
          <w:p w14:paraId="0C0D0FB2">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年级</w:t>
            </w:r>
          </w:p>
        </w:tc>
        <w:tc>
          <w:tcPr>
            <w:tcW w:w="1404" w:type="dxa"/>
            <w:tcBorders>
              <w:top w:val="single" w:color="000000" w:sz="2" w:space="0"/>
              <w:left w:val="single" w:color="000000" w:sz="2" w:space="0"/>
              <w:bottom w:val="single" w:color="000000" w:sz="2" w:space="0"/>
              <w:right w:val="single" w:color="000000" w:sz="2" w:space="0"/>
            </w:tcBorders>
            <w:vAlign w:val="center"/>
          </w:tcPr>
          <w:p w14:paraId="451C70BA">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等级</w:t>
            </w:r>
          </w:p>
        </w:tc>
        <w:tc>
          <w:tcPr>
            <w:tcW w:w="2610" w:type="dxa"/>
            <w:tcBorders>
              <w:top w:val="single" w:color="000000" w:sz="2" w:space="0"/>
              <w:left w:val="single" w:color="000000" w:sz="2" w:space="0"/>
              <w:bottom w:val="single" w:color="000000" w:sz="2" w:space="0"/>
              <w:right w:val="single" w:color="000000" w:sz="2" w:space="0"/>
            </w:tcBorders>
            <w:vAlign w:val="center"/>
          </w:tcPr>
          <w:p w14:paraId="5D1F8428">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lang w:eastAsia="zh-CN"/>
              </w:rPr>
              <w:t>奖励</w:t>
            </w:r>
            <w:r>
              <w:rPr>
                <w:rFonts w:hint="eastAsia" w:ascii="仿宋" w:hAnsi="仿宋" w:eastAsia="仿宋" w:cs="仿宋"/>
                <w:spacing w:val="0"/>
                <w:sz w:val="32"/>
                <w:szCs w:val="32"/>
              </w:rPr>
              <w:t>比例（%）</w:t>
            </w:r>
          </w:p>
        </w:tc>
        <w:tc>
          <w:tcPr>
            <w:tcW w:w="2570" w:type="dxa"/>
            <w:tcBorders>
              <w:top w:val="single" w:color="000000" w:sz="2" w:space="0"/>
              <w:left w:val="single" w:color="000000" w:sz="2" w:space="0"/>
              <w:bottom w:val="single" w:color="000000" w:sz="2" w:space="0"/>
              <w:right w:val="single" w:color="000000" w:sz="2" w:space="0"/>
            </w:tcBorders>
            <w:vAlign w:val="center"/>
          </w:tcPr>
          <w:p w14:paraId="608D49C7">
            <w:pPr>
              <w:kinsoku/>
              <w:spacing w:line="360" w:lineRule="auto"/>
              <w:ind w:left="0" w:leftChars="0" w:right="0" w:rightChars="0" w:firstLineChars="300"/>
              <w:jc w:val="center"/>
              <w:rPr>
                <w:rFonts w:hint="eastAsia" w:ascii="仿宋" w:hAnsi="仿宋" w:eastAsia="仿宋" w:cs="仿宋"/>
                <w:spacing w:val="0"/>
                <w:sz w:val="32"/>
                <w:szCs w:val="32"/>
              </w:rPr>
            </w:pPr>
            <w:r>
              <w:rPr>
                <w:rFonts w:hint="eastAsia" w:ascii="仿宋" w:hAnsi="仿宋" w:eastAsia="仿宋" w:cs="仿宋"/>
                <w:spacing w:val="0"/>
                <w:sz w:val="32"/>
                <w:szCs w:val="32"/>
              </w:rPr>
              <w:t>金额</w:t>
            </w:r>
          </w:p>
          <w:p w14:paraId="44061964">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（元/</w:t>
            </w:r>
            <w:r>
              <w:rPr>
                <w:rFonts w:hint="eastAsia" w:ascii="仿宋" w:hAnsi="仿宋" w:eastAsia="仿宋" w:cs="仿宋"/>
                <w:sz w:val="32"/>
                <w:szCs w:val="32"/>
              </w:rPr>
              <w:t>生·学年</w:t>
            </w:r>
            <w:r>
              <w:rPr>
                <w:rFonts w:hint="eastAsia" w:ascii="仿宋" w:hAnsi="仿宋" w:eastAsia="仿宋" w:cs="仿宋"/>
                <w:spacing w:val="0"/>
                <w:sz w:val="32"/>
                <w:szCs w:val="32"/>
              </w:rPr>
              <w:t>）</w:t>
            </w:r>
          </w:p>
        </w:tc>
      </w:tr>
      <w:tr w14:paraId="5FD5C421">
        <w:tblPrEx>
          <w:tblCellMar>
            <w:top w:w="0" w:type="dxa"/>
            <w:left w:w="0" w:type="dxa"/>
            <w:bottom w:w="0" w:type="dxa"/>
            <w:right w:w="0" w:type="dxa"/>
          </w:tblCellMar>
        </w:tblPrEx>
        <w:trPr>
          <w:trHeight w:val="392" w:hRule="atLeast"/>
        </w:trPr>
        <w:tc>
          <w:tcPr>
            <w:tcW w:w="1752" w:type="dxa"/>
            <w:tcBorders>
              <w:top w:val="single" w:color="000000" w:sz="2" w:space="0"/>
              <w:left w:val="single" w:color="000000" w:sz="2" w:space="0"/>
              <w:bottom w:val="single" w:color="000000" w:sz="2" w:space="0"/>
              <w:right w:val="single" w:color="000000" w:sz="2" w:space="0"/>
            </w:tcBorders>
            <w:vAlign w:val="center"/>
          </w:tcPr>
          <w:p w14:paraId="3046B2CB">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一年级</w:t>
            </w:r>
          </w:p>
        </w:tc>
        <w:tc>
          <w:tcPr>
            <w:tcW w:w="1404" w:type="dxa"/>
            <w:tcBorders>
              <w:top w:val="single" w:color="000000" w:sz="2" w:space="0"/>
              <w:left w:val="single" w:color="000000" w:sz="2" w:space="0"/>
              <w:bottom w:val="single" w:color="000000" w:sz="2" w:space="0"/>
              <w:right w:val="single" w:color="000000" w:sz="2" w:space="0"/>
            </w:tcBorders>
            <w:vAlign w:val="center"/>
          </w:tcPr>
          <w:p w14:paraId="20F2816C">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一等</w:t>
            </w:r>
          </w:p>
        </w:tc>
        <w:tc>
          <w:tcPr>
            <w:tcW w:w="2610" w:type="dxa"/>
            <w:tcBorders>
              <w:top w:val="single" w:color="000000" w:sz="2" w:space="0"/>
              <w:left w:val="single" w:color="000000" w:sz="2" w:space="0"/>
              <w:bottom w:val="single" w:color="000000" w:sz="2" w:space="0"/>
              <w:right w:val="single" w:color="000000" w:sz="2" w:space="0"/>
            </w:tcBorders>
            <w:vAlign w:val="center"/>
          </w:tcPr>
          <w:p w14:paraId="2B881584">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100</w:t>
            </w:r>
          </w:p>
        </w:tc>
        <w:tc>
          <w:tcPr>
            <w:tcW w:w="2570" w:type="dxa"/>
            <w:tcBorders>
              <w:top w:val="single" w:color="000000" w:sz="2" w:space="0"/>
              <w:left w:val="single" w:color="000000" w:sz="2" w:space="0"/>
              <w:bottom w:val="single" w:color="000000" w:sz="2" w:space="0"/>
              <w:right w:val="single" w:color="000000" w:sz="2" w:space="0"/>
            </w:tcBorders>
            <w:vAlign w:val="center"/>
          </w:tcPr>
          <w:p w14:paraId="5FBB9203">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14000</w:t>
            </w:r>
          </w:p>
        </w:tc>
      </w:tr>
      <w:tr w14:paraId="6D6A8BD0">
        <w:tblPrEx>
          <w:tblCellMar>
            <w:top w:w="0" w:type="dxa"/>
            <w:left w:w="0" w:type="dxa"/>
            <w:bottom w:w="0" w:type="dxa"/>
            <w:right w:w="0" w:type="dxa"/>
          </w:tblCellMar>
        </w:tblPrEx>
        <w:trPr>
          <w:trHeight w:val="390" w:hRule="atLeast"/>
        </w:trPr>
        <w:tc>
          <w:tcPr>
            <w:tcW w:w="1752" w:type="dxa"/>
            <w:vMerge w:val="restart"/>
            <w:tcBorders>
              <w:top w:val="single" w:color="000000" w:sz="2" w:space="0"/>
              <w:left w:val="single" w:color="000000" w:sz="2" w:space="0"/>
              <w:right w:val="single" w:color="000000" w:sz="2" w:space="0"/>
            </w:tcBorders>
            <w:vAlign w:val="center"/>
          </w:tcPr>
          <w:p w14:paraId="5D8E75DF">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二</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四年级</w:t>
            </w:r>
          </w:p>
        </w:tc>
        <w:tc>
          <w:tcPr>
            <w:tcW w:w="1404" w:type="dxa"/>
            <w:tcBorders>
              <w:top w:val="single" w:color="000000" w:sz="2" w:space="0"/>
              <w:left w:val="single" w:color="000000" w:sz="2" w:space="0"/>
              <w:bottom w:val="single" w:color="000000" w:sz="2" w:space="0"/>
              <w:right w:val="single" w:color="000000" w:sz="2" w:space="0"/>
            </w:tcBorders>
            <w:vAlign w:val="center"/>
          </w:tcPr>
          <w:p w14:paraId="4B7E059C">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一等</w:t>
            </w:r>
          </w:p>
        </w:tc>
        <w:tc>
          <w:tcPr>
            <w:tcW w:w="2610" w:type="dxa"/>
            <w:tcBorders>
              <w:top w:val="single" w:color="000000" w:sz="2" w:space="0"/>
              <w:left w:val="single" w:color="000000" w:sz="2" w:space="0"/>
              <w:bottom w:val="single" w:color="000000" w:sz="2" w:space="0"/>
              <w:right w:val="single" w:color="000000" w:sz="2" w:space="0"/>
            </w:tcBorders>
            <w:vAlign w:val="center"/>
          </w:tcPr>
          <w:p w14:paraId="38411F9B">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20</w:t>
            </w:r>
          </w:p>
        </w:tc>
        <w:tc>
          <w:tcPr>
            <w:tcW w:w="2570" w:type="dxa"/>
            <w:tcBorders>
              <w:top w:val="single" w:color="000000" w:sz="2" w:space="0"/>
              <w:left w:val="single" w:color="000000" w:sz="2" w:space="0"/>
              <w:bottom w:val="single" w:color="000000" w:sz="2" w:space="0"/>
              <w:right w:val="single" w:color="000000" w:sz="2" w:space="0"/>
            </w:tcBorders>
            <w:vAlign w:val="center"/>
          </w:tcPr>
          <w:p w14:paraId="01078F35">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18000</w:t>
            </w:r>
          </w:p>
        </w:tc>
      </w:tr>
      <w:tr w14:paraId="0B08CBAD">
        <w:tblPrEx>
          <w:tblCellMar>
            <w:top w:w="0" w:type="dxa"/>
            <w:left w:w="0" w:type="dxa"/>
            <w:bottom w:w="0" w:type="dxa"/>
            <w:right w:w="0" w:type="dxa"/>
          </w:tblCellMar>
        </w:tblPrEx>
        <w:trPr>
          <w:trHeight w:val="392" w:hRule="atLeast"/>
        </w:trPr>
        <w:tc>
          <w:tcPr>
            <w:tcW w:w="1752" w:type="dxa"/>
            <w:vMerge w:val="continue"/>
            <w:tcBorders>
              <w:top w:val="single" w:color="000000" w:sz="2" w:space="0"/>
              <w:left w:val="single" w:color="000000" w:sz="2" w:space="0"/>
              <w:right w:val="single" w:color="000000" w:sz="2" w:space="0"/>
            </w:tcBorders>
            <w:vAlign w:val="center"/>
          </w:tcPr>
          <w:p w14:paraId="7FFE9C24">
            <w:pPr>
              <w:kinsoku/>
              <w:spacing w:line="360" w:lineRule="auto"/>
              <w:ind w:left="0" w:leftChars="0" w:right="0" w:rightChars="0" w:firstLineChars="200"/>
              <w:jc w:val="center"/>
              <w:rPr>
                <w:rFonts w:hint="eastAsia" w:ascii="仿宋" w:hAnsi="仿宋" w:eastAsia="仿宋" w:cs="仿宋"/>
                <w:sz w:val="32"/>
                <w:szCs w:val="32"/>
              </w:rPr>
            </w:pPr>
          </w:p>
        </w:tc>
        <w:tc>
          <w:tcPr>
            <w:tcW w:w="1404" w:type="dxa"/>
            <w:tcBorders>
              <w:top w:val="single" w:color="000000" w:sz="2" w:space="0"/>
              <w:left w:val="single" w:color="000000" w:sz="2" w:space="0"/>
              <w:bottom w:val="single" w:color="000000" w:sz="2" w:space="0"/>
              <w:right w:val="single" w:color="000000" w:sz="2" w:space="0"/>
            </w:tcBorders>
            <w:vAlign w:val="center"/>
          </w:tcPr>
          <w:p w14:paraId="1C1981E8">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二等</w:t>
            </w:r>
          </w:p>
        </w:tc>
        <w:tc>
          <w:tcPr>
            <w:tcW w:w="2610" w:type="dxa"/>
            <w:tcBorders>
              <w:top w:val="single" w:color="000000" w:sz="2" w:space="0"/>
              <w:left w:val="single" w:color="000000" w:sz="2" w:space="0"/>
              <w:bottom w:val="single" w:color="000000" w:sz="2" w:space="0"/>
              <w:right w:val="single" w:color="000000" w:sz="2" w:space="0"/>
            </w:tcBorders>
            <w:vAlign w:val="center"/>
          </w:tcPr>
          <w:p w14:paraId="70FB6B64">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50</w:t>
            </w:r>
          </w:p>
        </w:tc>
        <w:tc>
          <w:tcPr>
            <w:tcW w:w="2570" w:type="dxa"/>
            <w:tcBorders>
              <w:top w:val="single" w:color="000000" w:sz="2" w:space="0"/>
              <w:left w:val="single" w:color="000000" w:sz="2" w:space="0"/>
              <w:bottom w:val="single" w:color="000000" w:sz="2" w:space="0"/>
              <w:right w:val="single" w:color="000000" w:sz="2" w:space="0"/>
            </w:tcBorders>
            <w:vAlign w:val="center"/>
          </w:tcPr>
          <w:p w14:paraId="1AE7353B">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14800</w:t>
            </w:r>
          </w:p>
        </w:tc>
      </w:tr>
      <w:tr w14:paraId="21EEA31C">
        <w:tblPrEx>
          <w:tblCellMar>
            <w:top w:w="0" w:type="dxa"/>
            <w:left w:w="0" w:type="dxa"/>
            <w:bottom w:w="0" w:type="dxa"/>
            <w:right w:w="0" w:type="dxa"/>
          </w:tblCellMar>
        </w:tblPrEx>
        <w:trPr>
          <w:trHeight w:val="395" w:hRule="atLeast"/>
        </w:trPr>
        <w:tc>
          <w:tcPr>
            <w:tcW w:w="1752" w:type="dxa"/>
            <w:vMerge w:val="continue"/>
            <w:tcBorders>
              <w:top w:val="single" w:color="000000" w:sz="2" w:space="0"/>
              <w:left w:val="single" w:color="000000" w:sz="2" w:space="0"/>
              <w:right w:val="single" w:color="000000" w:sz="2" w:space="0"/>
            </w:tcBorders>
            <w:vAlign w:val="center"/>
          </w:tcPr>
          <w:p w14:paraId="2FCA87A1">
            <w:pPr>
              <w:kinsoku/>
              <w:spacing w:line="360" w:lineRule="auto"/>
              <w:ind w:left="0" w:leftChars="0" w:right="0" w:rightChars="0" w:firstLineChars="200"/>
              <w:jc w:val="center"/>
              <w:rPr>
                <w:rFonts w:hint="eastAsia" w:ascii="仿宋" w:hAnsi="仿宋" w:eastAsia="仿宋" w:cs="仿宋"/>
                <w:sz w:val="32"/>
                <w:szCs w:val="32"/>
              </w:rPr>
            </w:pPr>
          </w:p>
        </w:tc>
        <w:tc>
          <w:tcPr>
            <w:tcW w:w="1404" w:type="dxa"/>
            <w:tcBorders>
              <w:top w:val="single" w:color="000000" w:sz="2" w:space="0"/>
              <w:left w:val="single" w:color="000000" w:sz="2" w:space="0"/>
              <w:bottom w:val="single" w:color="000000" w:sz="2" w:space="0"/>
              <w:right w:val="single" w:color="000000" w:sz="2" w:space="0"/>
            </w:tcBorders>
            <w:vAlign w:val="center"/>
          </w:tcPr>
          <w:p w14:paraId="107ED767">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三等</w:t>
            </w:r>
          </w:p>
        </w:tc>
        <w:tc>
          <w:tcPr>
            <w:tcW w:w="2610" w:type="dxa"/>
            <w:tcBorders>
              <w:top w:val="single" w:color="000000" w:sz="2" w:space="0"/>
              <w:left w:val="single" w:color="000000" w:sz="2" w:space="0"/>
              <w:bottom w:val="single" w:color="000000" w:sz="2" w:space="0"/>
              <w:right w:val="single" w:color="000000" w:sz="2" w:space="0"/>
            </w:tcBorders>
            <w:vAlign w:val="center"/>
          </w:tcPr>
          <w:p w14:paraId="67AE3E4D">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30</w:t>
            </w:r>
          </w:p>
        </w:tc>
        <w:tc>
          <w:tcPr>
            <w:tcW w:w="2570" w:type="dxa"/>
            <w:tcBorders>
              <w:top w:val="single" w:color="000000" w:sz="2" w:space="0"/>
              <w:left w:val="single" w:color="000000" w:sz="2" w:space="0"/>
              <w:bottom w:val="single" w:color="000000" w:sz="2" w:space="0"/>
              <w:right w:val="single" w:color="000000" w:sz="2" w:space="0"/>
            </w:tcBorders>
            <w:vAlign w:val="center"/>
          </w:tcPr>
          <w:p w14:paraId="3B36E84D">
            <w:pPr>
              <w:kinsoku/>
              <w:spacing w:line="360" w:lineRule="auto"/>
              <w:ind w:left="0" w:leftChars="0" w:right="0" w:rightChars="0" w:firstLineChars="300"/>
              <w:jc w:val="both"/>
              <w:rPr>
                <w:rFonts w:hint="eastAsia" w:ascii="仿宋" w:hAnsi="仿宋" w:eastAsia="仿宋" w:cs="仿宋"/>
                <w:sz w:val="32"/>
                <w:szCs w:val="32"/>
              </w:rPr>
            </w:pPr>
            <w:r>
              <w:rPr>
                <w:rFonts w:hint="eastAsia" w:ascii="仿宋" w:hAnsi="仿宋" w:eastAsia="仿宋" w:cs="仿宋"/>
                <w:spacing w:val="0"/>
                <w:sz w:val="32"/>
                <w:szCs w:val="32"/>
              </w:rPr>
              <w:t>10000</w:t>
            </w:r>
          </w:p>
        </w:tc>
      </w:tr>
    </w:tbl>
    <w:p w14:paraId="60A8FC15">
      <w:pPr>
        <w:kinsoku/>
        <w:spacing w:line="360" w:lineRule="auto"/>
        <w:ind w:left="0" w:leftChars="0" w:right="0" w:rightChars="0" w:firstLineChars="300"/>
        <w:jc w:val="both"/>
        <w:rPr>
          <w:rFonts w:hint="eastAsia" w:ascii="仿宋" w:hAnsi="仿宋" w:eastAsia="仿宋" w:cs="仿宋"/>
          <w:b w:val="0"/>
          <w:bCs w:val="0"/>
          <w:spacing w:val="0"/>
          <w:sz w:val="32"/>
          <w:szCs w:val="32"/>
        </w:rPr>
      </w:pPr>
    </w:p>
    <w:p w14:paraId="385F3388">
      <w:pPr>
        <w:kinsoku/>
        <w:spacing w:line="24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b w:val="0"/>
          <w:bCs w:val="0"/>
          <w:spacing w:val="0"/>
          <w:sz w:val="32"/>
          <w:szCs w:val="32"/>
        </w:rPr>
        <w:t>表2</w:t>
      </w:r>
      <w:r>
        <w:rPr>
          <w:rFonts w:hint="eastAsia" w:ascii="仿宋" w:hAnsi="仿宋" w:eastAsia="仿宋" w:cs="仿宋"/>
          <w:b w:val="0"/>
          <w:bCs w:val="0"/>
          <w:spacing w:val="0"/>
          <w:sz w:val="32"/>
          <w:szCs w:val="32"/>
          <w:lang w:eastAsia="zh-CN"/>
        </w:rPr>
        <w:t xml:space="preserve"> </w:t>
      </w:r>
      <w:r>
        <w:rPr>
          <w:rFonts w:hint="eastAsia" w:ascii="仿宋" w:hAnsi="仿宋" w:eastAsia="仿宋" w:cs="仿宋"/>
          <w:b w:val="0"/>
          <w:bCs w:val="0"/>
          <w:spacing w:val="0"/>
          <w:sz w:val="32"/>
          <w:szCs w:val="32"/>
        </w:rPr>
        <w:t>硕士研究生学业奖学金等级、标准、奖励比例</w:t>
      </w:r>
    </w:p>
    <w:tbl>
      <w:tblPr>
        <w:tblStyle w:val="5"/>
        <w:tblW w:w="8580" w:type="dxa"/>
        <w:tblInd w:w="-277" w:type="dxa"/>
        <w:tblLayout w:type="fixed"/>
        <w:tblCellMar>
          <w:top w:w="0" w:type="dxa"/>
          <w:left w:w="0" w:type="dxa"/>
          <w:bottom w:w="0" w:type="dxa"/>
          <w:right w:w="0" w:type="dxa"/>
        </w:tblCellMar>
      </w:tblPr>
      <w:tblGrid>
        <w:gridCol w:w="1626"/>
        <w:gridCol w:w="1050"/>
        <w:gridCol w:w="3639"/>
        <w:gridCol w:w="2265"/>
      </w:tblGrid>
      <w:tr w14:paraId="7C1E8B36">
        <w:tblPrEx>
          <w:tblCellMar>
            <w:top w:w="0" w:type="dxa"/>
            <w:left w:w="0" w:type="dxa"/>
            <w:bottom w:w="0" w:type="dxa"/>
            <w:right w:w="0" w:type="dxa"/>
          </w:tblCellMar>
        </w:tblPrEx>
        <w:trPr>
          <w:trHeight w:val="462" w:hRule="atLeast"/>
        </w:trPr>
        <w:tc>
          <w:tcPr>
            <w:tcW w:w="1626" w:type="dxa"/>
            <w:tcBorders>
              <w:top w:val="single" w:color="000000" w:sz="2" w:space="0"/>
              <w:left w:val="single" w:color="000000" w:sz="2" w:space="0"/>
              <w:bottom w:val="single" w:color="000000" w:sz="2" w:space="0"/>
              <w:right w:val="single" w:color="000000" w:sz="2" w:space="0"/>
            </w:tcBorders>
            <w:vAlign w:val="center"/>
          </w:tcPr>
          <w:p w14:paraId="6129D650">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年级</w:t>
            </w:r>
          </w:p>
        </w:tc>
        <w:tc>
          <w:tcPr>
            <w:tcW w:w="1050" w:type="dxa"/>
            <w:tcBorders>
              <w:top w:val="single" w:color="000000" w:sz="2" w:space="0"/>
              <w:left w:val="single" w:color="000000" w:sz="2" w:space="0"/>
              <w:bottom w:val="single" w:color="000000" w:sz="2" w:space="0"/>
              <w:right w:val="single" w:color="000000" w:sz="2" w:space="0"/>
            </w:tcBorders>
            <w:vAlign w:val="center"/>
          </w:tcPr>
          <w:p w14:paraId="49C411A9">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等级</w:t>
            </w:r>
          </w:p>
        </w:tc>
        <w:tc>
          <w:tcPr>
            <w:tcW w:w="3639" w:type="dxa"/>
            <w:tcBorders>
              <w:top w:val="single" w:color="000000" w:sz="2" w:space="0"/>
              <w:left w:val="single" w:color="000000" w:sz="2" w:space="0"/>
              <w:bottom w:val="single" w:color="000000" w:sz="2" w:space="0"/>
              <w:right w:val="single" w:color="000000" w:sz="2" w:space="0"/>
            </w:tcBorders>
            <w:vAlign w:val="center"/>
          </w:tcPr>
          <w:p w14:paraId="6B6DD21F">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lang w:eastAsia="zh-CN"/>
              </w:rPr>
              <w:t>奖励</w:t>
            </w:r>
            <w:r>
              <w:rPr>
                <w:rFonts w:hint="eastAsia" w:ascii="仿宋" w:hAnsi="仿宋" w:eastAsia="仿宋" w:cs="仿宋"/>
                <w:spacing w:val="0"/>
                <w:sz w:val="32"/>
                <w:szCs w:val="32"/>
              </w:rPr>
              <w:t>比例(%)</w:t>
            </w:r>
          </w:p>
        </w:tc>
        <w:tc>
          <w:tcPr>
            <w:tcW w:w="2265" w:type="dxa"/>
            <w:tcBorders>
              <w:top w:val="single" w:color="000000" w:sz="2" w:space="0"/>
              <w:left w:val="single" w:color="000000" w:sz="2" w:space="0"/>
              <w:bottom w:val="single" w:color="000000" w:sz="2" w:space="0"/>
              <w:right w:val="single" w:color="000000" w:sz="2" w:space="0"/>
            </w:tcBorders>
            <w:vAlign w:val="center"/>
          </w:tcPr>
          <w:p w14:paraId="233AF107">
            <w:pPr>
              <w:kinsoku/>
              <w:spacing w:line="360" w:lineRule="auto"/>
              <w:ind w:left="0" w:leftChars="0" w:right="0" w:rightChars="0" w:firstLineChars="200"/>
              <w:jc w:val="both"/>
              <w:rPr>
                <w:rFonts w:hint="eastAsia" w:ascii="仿宋" w:hAnsi="仿宋" w:eastAsia="仿宋" w:cs="仿宋"/>
                <w:spacing w:val="0"/>
                <w:sz w:val="32"/>
                <w:szCs w:val="32"/>
              </w:rPr>
            </w:pPr>
            <w:r>
              <w:rPr>
                <w:rFonts w:hint="eastAsia" w:ascii="仿宋" w:hAnsi="仿宋" w:eastAsia="仿宋" w:cs="仿宋"/>
                <w:spacing w:val="0"/>
                <w:sz w:val="32"/>
                <w:szCs w:val="32"/>
              </w:rPr>
              <w:t>金额</w:t>
            </w:r>
          </w:p>
          <w:p w14:paraId="11692A79">
            <w:pPr>
              <w:kinsoku/>
              <w:spacing w:line="360" w:lineRule="auto"/>
              <w:ind w:left="0" w:leftChars="0" w:right="0" w:rightChars="0" w:firstLine="0" w:firstLineChars="0"/>
              <w:jc w:val="both"/>
              <w:rPr>
                <w:rFonts w:hint="eastAsia" w:ascii="仿宋" w:hAnsi="仿宋" w:eastAsia="仿宋" w:cs="仿宋"/>
                <w:sz w:val="32"/>
                <w:szCs w:val="32"/>
              </w:rPr>
            </w:pPr>
            <w:r>
              <w:rPr>
                <w:rFonts w:hint="eastAsia" w:ascii="仿宋" w:hAnsi="仿宋" w:eastAsia="仿宋" w:cs="仿宋"/>
                <w:spacing w:val="0"/>
                <w:sz w:val="32"/>
                <w:szCs w:val="32"/>
              </w:rPr>
              <w:t>（元/</w:t>
            </w:r>
            <w:r>
              <w:rPr>
                <w:rFonts w:hint="eastAsia" w:ascii="仿宋" w:hAnsi="仿宋" w:eastAsia="仿宋" w:cs="仿宋"/>
                <w:sz w:val="32"/>
                <w:szCs w:val="32"/>
              </w:rPr>
              <w:t>生·学年</w:t>
            </w:r>
            <w:r>
              <w:rPr>
                <w:rFonts w:hint="eastAsia" w:ascii="仿宋" w:hAnsi="仿宋" w:eastAsia="仿宋" w:cs="仿宋"/>
                <w:spacing w:val="0"/>
                <w:sz w:val="32"/>
                <w:szCs w:val="32"/>
              </w:rPr>
              <w:t>）</w:t>
            </w:r>
          </w:p>
        </w:tc>
      </w:tr>
      <w:tr w14:paraId="58B1F0DE">
        <w:tblPrEx>
          <w:tblCellMar>
            <w:top w:w="0" w:type="dxa"/>
            <w:left w:w="0" w:type="dxa"/>
            <w:bottom w:w="0" w:type="dxa"/>
            <w:right w:w="0" w:type="dxa"/>
          </w:tblCellMar>
        </w:tblPrEx>
        <w:trPr>
          <w:trHeight w:val="424" w:hRule="atLeast"/>
        </w:trPr>
        <w:tc>
          <w:tcPr>
            <w:tcW w:w="1626" w:type="dxa"/>
            <w:vMerge w:val="restart"/>
            <w:tcBorders>
              <w:top w:val="single" w:color="000000" w:sz="2" w:space="0"/>
              <w:left w:val="single" w:color="000000" w:sz="2" w:space="0"/>
              <w:right w:val="single" w:color="000000" w:sz="2" w:space="0"/>
            </w:tcBorders>
            <w:vAlign w:val="center"/>
          </w:tcPr>
          <w:p w14:paraId="3AE4968D">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一年级</w:t>
            </w:r>
          </w:p>
        </w:tc>
        <w:tc>
          <w:tcPr>
            <w:tcW w:w="1050" w:type="dxa"/>
            <w:tcBorders>
              <w:top w:val="single" w:color="000000" w:sz="2" w:space="0"/>
              <w:left w:val="single" w:color="000000" w:sz="2" w:space="0"/>
              <w:bottom w:val="single" w:color="000000" w:sz="2" w:space="0"/>
              <w:right w:val="single" w:color="000000" w:sz="2" w:space="0"/>
            </w:tcBorders>
            <w:vAlign w:val="center"/>
          </w:tcPr>
          <w:p w14:paraId="3C56C44D">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一等</w:t>
            </w:r>
          </w:p>
        </w:tc>
        <w:tc>
          <w:tcPr>
            <w:tcW w:w="3639" w:type="dxa"/>
            <w:tcBorders>
              <w:top w:val="single" w:color="000000" w:sz="2" w:space="0"/>
              <w:left w:val="single" w:color="000000" w:sz="2" w:space="0"/>
              <w:bottom w:val="single" w:color="000000" w:sz="2" w:space="0"/>
              <w:right w:val="single" w:color="000000" w:sz="2" w:space="0"/>
            </w:tcBorders>
            <w:vAlign w:val="center"/>
          </w:tcPr>
          <w:p w14:paraId="323C34C3">
            <w:pPr>
              <w:kinsoku/>
              <w:spacing w:line="360" w:lineRule="auto"/>
              <w:ind w:left="0" w:leftChars="0" w:right="0" w:rightChars="0" w:firstLineChars="500"/>
              <w:jc w:val="both"/>
              <w:rPr>
                <w:rFonts w:hint="eastAsia" w:ascii="仿宋" w:hAnsi="仿宋" w:eastAsia="仿宋" w:cs="仿宋"/>
                <w:spacing w:val="0"/>
                <w:sz w:val="32"/>
                <w:szCs w:val="32"/>
              </w:rPr>
            </w:pPr>
            <w:r>
              <w:rPr>
                <w:rFonts w:hint="eastAsia" w:ascii="仿宋" w:hAnsi="仿宋" w:eastAsia="仿宋" w:cs="仿宋"/>
                <w:spacing w:val="0"/>
                <w:sz w:val="32"/>
                <w:szCs w:val="32"/>
              </w:rPr>
              <w:t>X</w:t>
            </w:r>
          </w:p>
          <w:p w14:paraId="5D56EB9C">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w w:val="90"/>
                <w:sz w:val="32"/>
                <w:szCs w:val="32"/>
              </w:rPr>
              <w:t>（第一志愿报考我校比例）</w:t>
            </w:r>
          </w:p>
        </w:tc>
        <w:tc>
          <w:tcPr>
            <w:tcW w:w="2265" w:type="dxa"/>
            <w:tcBorders>
              <w:top w:val="single" w:color="000000" w:sz="2" w:space="0"/>
              <w:left w:val="single" w:color="000000" w:sz="2" w:space="0"/>
              <w:bottom w:val="single" w:color="000000" w:sz="2" w:space="0"/>
              <w:right w:val="single" w:color="000000" w:sz="2" w:space="0"/>
            </w:tcBorders>
            <w:vAlign w:val="center"/>
          </w:tcPr>
          <w:p w14:paraId="66052AD5">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8000</w:t>
            </w:r>
          </w:p>
        </w:tc>
      </w:tr>
      <w:tr w14:paraId="334D17D2">
        <w:tblPrEx>
          <w:tblCellMar>
            <w:top w:w="0" w:type="dxa"/>
            <w:left w:w="0" w:type="dxa"/>
            <w:bottom w:w="0" w:type="dxa"/>
            <w:right w:w="0" w:type="dxa"/>
          </w:tblCellMar>
        </w:tblPrEx>
        <w:trPr>
          <w:trHeight w:val="426" w:hRule="atLeast"/>
        </w:trPr>
        <w:tc>
          <w:tcPr>
            <w:tcW w:w="1626" w:type="dxa"/>
            <w:vMerge w:val="continue"/>
            <w:tcBorders>
              <w:top w:val="single" w:color="000000" w:sz="2" w:space="0"/>
              <w:left w:val="single" w:color="000000" w:sz="2" w:space="0"/>
              <w:right w:val="single" w:color="000000" w:sz="2" w:space="0"/>
            </w:tcBorders>
            <w:vAlign w:val="center"/>
          </w:tcPr>
          <w:p w14:paraId="6EF227CD">
            <w:pPr>
              <w:kinsoku/>
              <w:spacing w:line="360" w:lineRule="auto"/>
              <w:ind w:left="0" w:leftChars="0" w:right="0" w:rightChars="0" w:firstLineChars="200"/>
              <w:jc w:val="center"/>
              <w:rPr>
                <w:rFonts w:hint="eastAsia" w:ascii="仿宋" w:hAnsi="仿宋" w:eastAsia="仿宋" w:cs="仿宋"/>
                <w:sz w:val="32"/>
                <w:szCs w:val="32"/>
              </w:rPr>
            </w:pPr>
          </w:p>
        </w:tc>
        <w:tc>
          <w:tcPr>
            <w:tcW w:w="1050" w:type="dxa"/>
            <w:tcBorders>
              <w:top w:val="single" w:color="000000" w:sz="2" w:space="0"/>
              <w:left w:val="single" w:color="000000" w:sz="2" w:space="0"/>
              <w:bottom w:val="single" w:color="000000" w:sz="2" w:space="0"/>
              <w:right w:val="single" w:color="000000" w:sz="2" w:space="0"/>
            </w:tcBorders>
            <w:vAlign w:val="center"/>
          </w:tcPr>
          <w:p w14:paraId="7D4A71F7">
            <w:pPr>
              <w:kinsoku/>
              <w:spacing w:line="360" w:lineRule="auto"/>
              <w:ind w:left="0" w:leftChars="0" w:right="0" w:rightChars="0" w:firstLineChars="100"/>
              <w:jc w:val="both"/>
              <w:rPr>
                <w:rFonts w:hint="eastAsia" w:ascii="仿宋" w:hAnsi="仿宋" w:eastAsia="仿宋" w:cs="仿宋"/>
                <w:sz w:val="32"/>
                <w:szCs w:val="32"/>
                <w:lang w:eastAsia="zh-CN"/>
              </w:rPr>
            </w:pPr>
            <w:r>
              <w:rPr>
                <w:rFonts w:hint="eastAsia" w:ascii="仿宋" w:hAnsi="仿宋" w:eastAsia="仿宋" w:cs="仿宋"/>
                <w:spacing w:val="0"/>
                <w:sz w:val="32"/>
                <w:szCs w:val="32"/>
              </w:rPr>
              <w:t>二等</w:t>
            </w:r>
          </w:p>
        </w:tc>
        <w:tc>
          <w:tcPr>
            <w:tcW w:w="3639" w:type="dxa"/>
            <w:tcBorders>
              <w:top w:val="single" w:color="000000" w:sz="2" w:space="0"/>
              <w:left w:val="single" w:color="000000" w:sz="2" w:space="0"/>
              <w:bottom w:val="single" w:color="000000" w:sz="2" w:space="0"/>
              <w:right w:val="single" w:color="000000" w:sz="2" w:space="0"/>
            </w:tcBorders>
            <w:vAlign w:val="center"/>
          </w:tcPr>
          <w:p w14:paraId="7BC6FE04">
            <w:pPr>
              <w:numPr>
                <w:ilvl w:val="0"/>
                <w:numId w:val="1"/>
              </w:numPr>
              <w:kinsoku/>
              <w:spacing w:line="360" w:lineRule="auto"/>
              <w:ind w:left="0" w:leftChars="0" w:right="0" w:rightChars="0" w:firstLine="0" w:firstLineChars="0"/>
              <w:jc w:val="center"/>
              <w:rPr>
                <w:rFonts w:hint="eastAsia" w:ascii="仿宋" w:hAnsi="仿宋" w:eastAsia="仿宋" w:cs="仿宋"/>
                <w:spacing w:val="0"/>
                <w:sz w:val="32"/>
                <w:szCs w:val="32"/>
              </w:rPr>
            </w:pPr>
            <w:r>
              <w:rPr>
                <w:rFonts w:hint="eastAsia" w:ascii="仿宋" w:hAnsi="仿宋" w:eastAsia="仿宋" w:cs="仿宋"/>
                <w:spacing w:val="0"/>
                <w:sz w:val="32"/>
                <w:szCs w:val="32"/>
              </w:rPr>
              <w:t>X</w:t>
            </w:r>
          </w:p>
          <w:p w14:paraId="6DD387EF">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w w:val="80"/>
                <w:sz w:val="32"/>
                <w:szCs w:val="32"/>
              </w:rPr>
              <w:t>（非第一志愿报考我校比例）</w:t>
            </w:r>
          </w:p>
        </w:tc>
        <w:tc>
          <w:tcPr>
            <w:tcW w:w="2265" w:type="dxa"/>
            <w:tcBorders>
              <w:top w:val="single" w:color="000000" w:sz="2" w:space="0"/>
              <w:left w:val="single" w:color="000000" w:sz="2" w:space="0"/>
              <w:bottom w:val="single" w:color="000000" w:sz="2" w:space="0"/>
              <w:right w:val="single" w:color="000000" w:sz="2" w:space="0"/>
            </w:tcBorders>
            <w:vAlign w:val="center"/>
          </w:tcPr>
          <w:p w14:paraId="1B576DC3">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4000</w:t>
            </w:r>
          </w:p>
        </w:tc>
      </w:tr>
      <w:tr w14:paraId="127EC18F">
        <w:tblPrEx>
          <w:tblCellMar>
            <w:top w:w="0" w:type="dxa"/>
            <w:left w:w="0" w:type="dxa"/>
            <w:bottom w:w="0" w:type="dxa"/>
            <w:right w:w="0" w:type="dxa"/>
          </w:tblCellMar>
        </w:tblPrEx>
        <w:trPr>
          <w:trHeight w:val="424" w:hRule="atLeast"/>
        </w:trPr>
        <w:tc>
          <w:tcPr>
            <w:tcW w:w="1626" w:type="dxa"/>
            <w:vMerge w:val="restart"/>
            <w:tcBorders>
              <w:top w:val="single" w:color="000000" w:sz="2" w:space="0"/>
              <w:left w:val="single" w:color="000000" w:sz="2" w:space="0"/>
              <w:right w:val="single" w:color="000000" w:sz="2" w:space="0"/>
            </w:tcBorders>
            <w:vAlign w:val="center"/>
          </w:tcPr>
          <w:p w14:paraId="02F83A60">
            <w:pPr>
              <w:kinsoku/>
              <w:spacing w:line="36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pacing w:val="0"/>
                <w:sz w:val="32"/>
                <w:szCs w:val="32"/>
              </w:rPr>
              <w:t>二</w:t>
            </w:r>
            <w:r>
              <w:rPr>
                <w:rFonts w:hint="eastAsia" w:ascii="仿宋" w:hAnsi="仿宋" w:eastAsia="仿宋" w:cs="仿宋"/>
                <w:spacing w:val="0"/>
                <w:sz w:val="32"/>
                <w:szCs w:val="32"/>
                <w:lang w:eastAsia="zh-CN"/>
              </w:rPr>
              <w:t>、三</w:t>
            </w:r>
            <w:r>
              <w:rPr>
                <w:rFonts w:hint="eastAsia" w:ascii="仿宋" w:hAnsi="仿宋" w:eastAsia="仿宋" w:cs="仿宋"/>
                <w:spacing w:val="0"/>
                <w:sz w:val="32"/>
                <w:szCs w:val="32"/>
              </w:rPr>
              <w:t>年级</w:t>
            </w:r>
          </w:p>
        </w:tc>
        <w:tc>
          <w:tcPr>
            <w:tcW w:w="1050" w:type="dxa"/>
            <w:tcBorders>
              <w:top w:val="single" w:color="000000" w:sz="2" w:space="0"/>
              <w:left w:val="single" w:color="000000" w:sz="2" w:space="0"/>
              <w:bottom w:val="single" w:color="000000" w:sz="2" w:space="0"/>
              <w:right w:val="single" w:color="000000" w:sz="2" w:space="0"/>
            </w:tcBorders>
            <w:vAlign w:val="center"/>
          </w:tcPr>
          <w:p w14:paraId="24DACF1A">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一等</w:t>
            </w:r>
          </w:p>
        </w:tc>
        <w:tc>
          <w:tcPr>
            <w:tcW w:w="3639" w:type="dxa"/>
            <w:tcBorders>
              <w:top w:val="single" w:color="000000" w:sz="2" w:space="0"/>
              <w:left w:val="single" w:color="000000" w:sz="2" w:space="0"/>
              <w:bottom w:val="single" w:color="000000" w:sz="2" w:space="0"/>
              <w:right w:val="single" w:color="000000" w:sz="2" w:space="0"/>
            </w:tcBorders>
            <w:vAlign w:val="center"/>
          </w:tcPr>
          <w:p w14:paraId="4CE7C8FC">
            <w:pPr>
              <w:kinsoku/>
              <w:spacing w:line="360" w:lineRule="auto"/>
              <w:ind w:left="0" w:leftChars="0" w:right="0" w:rightChars="0" w:firstLineChars="500"/>
              <w:jc w:val="both"/>
              <w:rPr>
                <w:rFonts w:hint="eastAsia" w:ascii="仿宋" w:hAnsi="仿宋" w:eastAsia="仿宋" w:cs="仿宋"/>
                <w:sz w:val="32"/>
                <w:szCs w:val="32"/>
              </w:rPr>
            </w:pPr>
            <w:r>
              <w:rPr>
                <w:rFonts w:hint="eastAsia" w:ascii="仿宋" w:hAnsi="仿宋" w:eastAsia="仿宋" w:cs="仿宋"/>
                <w:spacing w:val="0"/>
                <w:sz w:val="32"/>
                <w:szCs w:val="32"/>
              </w:rPr>
              <w:t>20</w:t>
            </w:r>
          </w:p>
        </w:tc>
        <w:tc>
          <w:tcPr>
            <w:tcW w:w="2265" w:type="dxa"/>
            <w:tcBorders>
              <w:top w:val="single" w:color="000000" w:sz="2" w:space="0"/>
              <w:left w:val="single" w:color="000000" w:sz="2" w:space="0"/>
              <w:bottom w:val="single" w:color="000000" w:sz="2" w:space="0"/>
              <w:right w:val="single" w:color="000000" w:sz="2" w:space="0"/>
            </w:tcBorders>
            <w:vAlign w:val="center"/>
          </w:tcPr>
          <w:p w14:paraId="7B600EC3">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12000</w:t>
            </w:r>
          </w:p>
        </w:tc>
      </w:tr>
      <w:tr w14:paraId="27374336">
        <w:tblPrEx>
          <w:tblCellMar>
            <w:top w:w="0" w:type="dxa"/>
            <w:left w:w="0" w:type="dxa"/>
            <w:bottom w:w="0" w:type="dxa"/>
            <w:right w:w="0" w:type="dxa"/>
          </w:tblCellMar>
        </w:tblPrEx>
        <w:trPr>
          <w:trHeight w:val="424" w:hRule="atLeast"/>
        </w:trPr>
        <w:tc>
          <w:tcPr>
            <w:tcW w:w="1626" w:type="dxa"/>
            <w:vMerge w:val="continue"/>
            <w:tcBorders>
              <w:top w:val="single" w:color="000000" w:sz="2" w:space="0"/>
              <w:left w:val="single" w:color="000000" w:sz="2" w:space="0"/>
              <w:right w:val="single" w:color="000000" w:sz="2" w:space="0"/>
            </w:tcBorders>
            <w:vAlign w:val="center"/>
          </w:tcPr>
          <w:p w14:paraId="316C680F">
            <w:pPr>
              <w:kinsoku/>
              <w:spacing w:line="360" w:lineRule="auto"/>
              <w:ind w:left="0" w:leftChars="0" w:right="0" w:rightChars="0" w:firstLineChars="200"/>
              <w:jc w:val="center"/>
              <w:rPr>
                <w:rFonts w:hint="eastAsia" w:ascii="仿宋" w:hAnsi="仿宋" w:eastAsia="仿宋" w:cs="仿宋"/>
                <w:sz w:val="32"/>
                <w:szCs w:val="32"/>
              </w:rPr>
            </w:pPr>
          </w:p>
        </w:tc>
        <w:tc>
          <w:tcPr>
            <w:tcW w:w="1050" w:type="dxa"/>
            <w:tcBorders>
              <w:top w:val="single" w:color="000000" w:sz="2" w:space="0"/>
              <w:left w:val="single" w:color="000000" w:sz="2" w:space="0"/>
              <w:bottom w:val="single" w:color="000000" w:sz="2" w:space="0"/>
              <w:right w:val="single" w:color="000000" w:sz="2" w:space="0"/>
            </w:tcBorders>
            <w:vAlign w:val="center"/>
          </w:tcPr>
          <w:p w14:paraId="4A9E3B7B">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二等</w:t>
            </w:r>
          </w:p>
        </w:tc>
        <w:tc>
          <w:tcPr>
            <w:tcW w:w="3639" w:type="dxa"/>
            <w:tcBorders>
              <w:top w:val="single" w:color="000000" w:sz="2" w:space="0"/>
              <w:left w:val="single" w:color="000000" w:sz="2" w:space="0"/>
              <w:bottom w:val="single" w:color="000000" w:sz="2" w:space="0"/>
              <w:right w:val="single" w:color="000000" w:sz="2" w:space="0"/>
            </w:tcBorders>
            <w:vAlign w:val="center"/>
          </w:tcPr>
          <w:p w14:paraId="3ADC961B">
            <w:pPr>
              <w:kinsoku/>
              <w:spacing w:line="360" w:lineRule="auto"/>
              <w:ind w:left="0" w:leftChars="0" w:right="0" w:rightChars="0" w:firstLineChars="500"/>
              <w:jc w:val="both"/>
              <w:rPr>
                <w:rFonts w:hint="eastAsia" w:ascii="仿宋" w:hAnsi="仿宋" w:eastAsia="仿宋" w:cs="仿宋"/>
                <w:sz w:val="32"/>
                <w:szCs w:val="32"/>
              </w:rPr>
            </w:pPr>
            <w:r>
              <w:rPr>
                <w:rFonts w:hint="eastAsia" w:ascii="仿宋" w:hAnsi="仿宋" w:eastAsia="仿宋" w:cs="仿宋"/>
                <w:spacing w:val="0"/>
                <w:sz w:val="32"/>
                <w:szCs w:val="32"/>
              </w:rPr>
              <w:t>50</w:t>
            </w:r>
          </w:p>
        </w:tc>
        <w:tc>
          <w:tcPr>
            <w:tcW w:w="2265" w:type="dxa"/>
            <w:tcBorders>
              <w:top w:val="single" w:color="000000" w:sz="2" w:space="0"/>
              <w:left w:val="single" w:color="000000" w:sz="2" w:space="0"/>
              <w:bottom w:val="single" w:color="000000" w:sz="2" w:space="0"/>
              <w:right w:val="single" w:color="000000" w:sz="2" w:space="0"/>
            </w:tcBorders>
            <w:vAlign w:val="center"/>
          </w:tcPr>
          <w:p w14:paraId="7D4FFB85">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8000</w:t>
            </w:r>
          </w:p>
        </w:tc>
      </w:tr>
      <w:tr w14:paraId="10CC8E01">
        <w:tblPrEx>
          <w:tblCellMar>
            <w:top w:w="0" w:type="dxa"/>
            <w:left w:w="0" w:type="dxa"/>
            <w:bottom w:w="0" w:type="dxa"/>
            <w:right w:w="0" w:type="dxa"/>
          </w:tblCellMar>
        </w:tblPrEx>
        <w:trPr>
          <w:trHeight w:val="428" w:hRule="atLeast"/>
        </w:trPr>
        <w:tc>
          <w:tcPr>
            <w:tcW w:w="1626" w:type="dxa"/>
            <w:vMerge w:val="continue"/>
            <w:tcBorders>
              <w:top w:val="single" w:color="000000" w:sz="2" w:space="0"/>
              <w:left w:val="single" w:color="000000" w:sz="2" w:space="0"/>
              <w:right w:val="single" w:color="000000" w:sz="2" w:space="0"/>
            </w:tcBorders>
            <w:vAlign w:val="center"/>
          </w:tcPr>
          <w:p w14:paraId="46F4C003">
            <w:pPr>
              <w:kinsoku/>
              <w:spacing w:line="360" w:lineRule="auto"/>
              <w:ind w:left="0" w:leftChars="0" w:right="0" w:rightChars="0" w:firstLineChars="200"/>
              <w:jc w:val="center"/>
              <w:rPr>
                <w:rFonts w:hint="eastAsia" w:ascii="仿宋" w:hAnsi="仿宋" w:eastAsia="仿宋" w:cs="仿宋"/>
                <w:sz w:val="32"/>
                <w:szCs w:val="32"/>
              </w:rPr>
            </w:pPr>
          </w:p>
        </w:tc>
        <w:tc>
          <w:tcPr>
            <w:tcW w:w="1050" w:type="dxa"/>
            <w:tcBorders>
              <w:top w:val="single" w:color="000000" w:sz="2" w:space="0"/>
              <w:left w:val="single" w:color="000000" w:sz="2" w:space="0"/>
              <w:bottom w:val="single" w:color="000000" w:sz="2" w:space="0"/>
              <w:right w:val="single" w:color="000000" w:sz="2" w:space="0"/>
            </w:tcBorders>
            <w:vAlign w:val="center"/>
          </w:tcPr>
          <w:p w14:paraId="68C25099">
            <w:pPr>
              <w:kinsoku/>
              <w:spacing w:line="360" w:lineRule="auto"/>
              <w:ind w:left="0" w:leftChars="0" w:right="0" w:rightChars="0" w:firstLineChars="100"/>
              <w:jc w:val="both"/>
              <w:rPr>
                <w:rFonts w:hint="eastAsia" w:ascii="仿宋" w:hAnsi="仿宋" w:eastAsia="仿宋" w:cs="仿宋"/>
                <w:sz w:val="32"/>
                <w:szCs w:val="32"/>
              </w:rPr>
            </w:pPr>
            <w:r>
              <w:rPr>
                <w:rFonts w:hint="eastAsia" w:ascii="仿宋" w:hAnsi="仿宋" w:eastAsia="仿宋" w:cs="仿宋"/>
                <w:spacing w:val="0"/>
                <w:sz w:val="32"/>
                <w:szCs w:val="32"/>
              </w:rPr>
              <w:t>三等</w:t>
            </w:r>
          </w:p>
        </w:tc>
        <w:tc>
          <w:tcPr>
            <w:tcW w:w="3639" w:type="dxa"/>
            <w:tcBorders>
              <w:top w:val="single" w:color="000000" w:sz="2" w:space="0"/>
              <w:left w:val="single" w:color="000000" w:sz="2" w:space="0"/>
              <w:bottom w:val="single" w:color="000000" w:sz="2" w:space="0"/>
              <w:right w:val="single" w:color="000000" w:sz="2" w:space="0"/>
            </w:tcBorders>
            <w:vAlign w:val="center"/>
          </w:tcPr>
          <w:p w14:paraId="7D9AF669">
            <w:pPr>
              <w:kinsoku/>
              <w:spacing w:line="360" w:lineRule="auto"/>
              <w:ind w:left="0" w:leftChars="0" w:right="0" w:rightChars="0" w:firstLineChars="500"/>
              <w:jc w:val="both"/>
              <w:rPr>
                <w:rFonts w:hint="eastAsia" w:ascii="仿宋" w:hAnsi="仿宋" w:eastAsia="仿宋" w:cs="仿宋"/>
                <w:sz w:val="32"/>
                <w:szCs w:val="32"/>
              </w:rPr>
            </w:pPr>
            <w:r>
              <w:rPr>
                <w:rFonts w:hint="eastAsia" w:ascii="仿宋" w:hAnsi="仿宋" w:eastAsia="仿宋" w:cs="仿宋"/>
                <w:spacing w:val="0"/>
                <w:sz w:val="32"/>
                <w:szCs w:val="32"/>
              </w:rPr>
              <w:t>30</w:t>
            </w:r>
          </w:p>
        </w:tc>
        <w:tc>
          <w:tcPr>
            <w:tcW w:w="2265" w:type="dxa"/>
            <w:tcBorders>
              <w:top w:val="single" w:color="000000" w:sz="2" w:space="0"/>
              <w:left w:val="single" w:color="000000" w:sz="2" w:space="0"/>
              <w:bottom w:val="single" w:color="000000" w:sz="2" w:space="0"/>
              <w:right w:val="single" w:color="000000" w:sz="2" w:space="0"/>
            </w:tcBorders>
            <w:vAlign w:val="center"/>
          </w:tcPr>
          <w:p w14:paraId="382648AF">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6000</w:t>
            </w:r>
          </w:p>
        </w:tc>
      </w:tr>
    </w:tbl>
    <w:p w14:paraId="3BC9C24E">
      <w:pPr>
        <w:kinsoku/>
        <w:spacing w:line="360" w:lineRule="auto"/>
        <w:ind w:left="0" w:leftChars="0" w:right="0" w:rightChars="0" w:firstLineChars="200"/>
        <w:jc w:val="both"/>
        <w:rPr>
          <w:rFonts w:hint="eastAsia" w:ascii="仿宋" w:hAnsi="仿宋" w:eastAsia="仿宋" w:cs="仿宋"/>
          <w:spacing w:val="0"/>
          <w:sz w:val="32"/>
          <w:szCs w:val="32"/>
        </w:rPr>
      </w:pPr>
      <w:r>
        <w:rPr>
          <w:rFonts w:hint="eastAsia" w:ascii="黑体" w:hAnsi="黑体" w:eastAsia="黑体" w:cs="黑体"/>
          <w:b w:val="0"/>
          <w:bCs w:val="0"/>
          <w:spacing w:val="0"/>
          <w:sz w:val="32"/>
          <w:szCs w:val="32"/>
        </w:rPr>
        <w:t>第四条</w:t>
      </w:r>
      <w:r>
        <w:rPr>
          <w:rFonts w:hint="eastAsia" w:ascii="仿宋" w:hAnsi="仿宋" w:eastAsia="仿宋" w:cs="仿宋"/>
          <w:spacing w:val="0"/>
          <w:sz w:val="32"/>
          <w:szCs w:val="32"/>
        </w:rPr>
        <w:t xml:space="preserve"> 学校每年须统筹考虑资金状况、学生人数、学科差异及学生类别等因素，对研究生学业奖学金的等级、标准与奖励比例进行适时调整。</w:t>
      </w:r>
    </w:p>
    <w:p w14:paraId="6E264FD8">
      <w:pPr>
        <w:kinsoku/>
        <w:spacing w:line="360" w:lineRule="auto"/>
        <w:ind w:left="0" w:leftChars="0" w:right="0" w:rightChars="0" w:firstLineChars="200"/>
        <w:jc w:val="both"/>
        <w:rPr>
          <w:rFonts w:hint="eastAsia" w:ascii="仿宋" w:hAnsi="仿宋" w:eastAsia="仿宋" w:cs="仿宋"/>
          <w:sz w:val="32"/>
          <w:szCs w:val="32"/>
        </w:rPr>
      </w:pPr>
      <w:r>
        <w:rPr>
          <w:rFonts w:hint="eastAsia" w:ascii="黑体" w:hAnsi="黑体" w:eastAsia="黑体" w:cs="黑体"/>
          <w:b w:val="0"/>
          <w:bCs w:val="0"/>
          <w:spacing w:val="0"/>
          <w:sz w:val="32"/>
          <w:szCs w:val="32"/>
        </w:rPr>
        <w:t>第五条</w:t>
      </w:r>
      <w:r>
        <w:rPr>
          <w:rFonts w:hint="eastAsia" w:ascii="仿宋" w:hAnsi="仿宋" w:eastAsia="仿宋" w:cs="仿宋"/>
          <w:spacing w:val="0"/>
          <w:sz w:val="32"/>
          <w:szCs w:val="32"/>
        </w:rPr>
        <w:t xml:space="preserve"> 研究生学业奖学金基本条件：</w:t>
      </w:r>
    </w:p>
    <w:p w14:paraId="596B8ECA">
      <w:pPr>
        <w:kinsoku/>
        <w:spacing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1、具有中华人民共和国国籍；</w:t>
      </w:r>
    </w:p>
    <w:p w14:paraId="46EB7946">
      <w:pPr>
        <w:kinsoku/>
        <w:spacing w:line="360" w:lineRule="auto"/>
        <w:ind w:left="0" w:leftChars="0" w:right="0" w:rightChars="0" w:firstLineChars="200"/>
        <w:jc w:val="both"/>
        <w:rPr>
          <w:rFonts w:hint="eastAsia" w:ascii="仿宋" w:hAnsi="仿宋" w:eastAsia="仿宋" w:cs="仿宋"/>
          <w:spacing w:val="0"/>
          <w:sz w:val="32"/>
          <w:szCs w:val="32"/>
        </w:rPr>
      </w:pPr>
      <w:r>
        <w:rPr>
          <w:rFonts w:hint="eastAsia" w:ascii="仿宋" w:hAnsi="仿宋" w:eastAsia="仿宋" w:cs="仿宋"/>
          <w:spacing w:val="0"/>
          <w:sz w:val="32"/>
          <w:szCs w:val="32"/>
        </w:rPr>
        <w:t>2、热爱社会主义祖国，拥护中国共产党的领导；</w:t>
      </w:r>
    </w:p>
    <w:p w14:paraId="2317F71A">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3、遵守国家法律法规，遵守学校规章制度；</w:t>
      </w:r>
    </w:p>
    <w:p w14:paraId="5146B968">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4、诚实守信，品学兼优；</w:t>
      </w:r>
    </w:p>
    <w:p w14:paraId="29F24B34">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5、积极参与科学研究和社会实践。</w:t>
      </w:r>
    </w:p>
    <w:p w14:paraId="1584CF54">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黑体" w:hAnsi="黑体" w:eastAsia="黑体" w:cs="黑体"/>
          <w:b w:val="0"/>
          <w:bCs w:val="0"/>
          <w:sz w:val="32"/>
          <w:szCs w:val="32"/>
        </w:rPr>
        <w:t>第六条</w:t>
      </w:r>
      <w:r>
        <w:rPr>
          <w:rFonts w:hint="eastAsia" w:ascii="方正公文仿宋" w:hAnsi="方正公文仿宋" w:eastAsia="方正公文仿宋" w:cs="方正公文仿宋"/>
          <w:sz w:val="32"/>
          <w:szCs w:val="32"/>
        </w:rPr>
        <w:t xml:space="preserve"> </w:t>
      </w:r>
      <w:r>
        <w:rPr>
          <w:rFonts w:hint="eastAsia" w:ascii="仿宋" w:hAnsi="仿宋" w:eastAsia="仿宋" w:cs="仿宋"/>
          <w:sz w:val="32"/>
          <w:szCs w:val="32"/>
        </w:rPr>
        <w:t>硕博连读研究生在注册为博士研究生之前</w:t>
      </w:r>
      <w:r>
        <w:rPr>
          <w:rFonts w:hint="eastAsia" w:ascii="仿宋" w:hAnsi="仿宋" w:eastAsia="仿宋" w:cs="仿宋"/>
          <w:sz w:val="32"/>
          <w:szCs w:val="32"/>
          <w:lang w:eastAsia="zh-CN"/>
        </w:rPr>
        <w:t>，</w:t>
      </w:r>
      <w:r>
        <w:rPr>
          <w:rFonts w:hint="eastAsia" w:ascii="仿宋" w:hAnsi="仿宋" w:eastAsia="仿宋" w:cs="仿宋"/>
          <w:sz w:val="32"/>
          <w:szCs w:val="32"/>
        </w:rPr>
        <w:t>按照硕士研究生身份</w:t>
      </w:r>
      <w:r>
        <w:rPr>
          <w:rFonts w:hint="eastAsia" w:ascii="仿宋" w:hAnsi="仿宋" w:eastAsia="仿宋" w:cs="仿宋"/>
          <w:sz w:val="32"/>
          <w:szCs w:val="32"/>
          <w:lang w:eastAsia="zh-CN"/>
        </w:rPr>
        <w:t>评定</w:t>
      </w:r>
      <w:r>
        <w:rPr>
          <w:rFonts w:hint="eastAsia" w:ascii="仿宋" w:hAnsi="仿宋" w:eastAsia="仿宋" w:cs="仿宋"/>
          <w:spacing w:val="0"/>
          <w:sz w:val="32"/>
          <w:szCs w:val="32"/>
        </w:rPr>
        <w:t>学业奖学金；注册为博士研究生后，按照博士研究生身份</w:t>
      </w:r>
      <w:r>
        <w:rPr>
          <w:rFonts w:hint="eastAsia" w:ascii="仿宋" w:hAnsi="仿宋" w:eastAsia="仿宋" w:cs="仿宋"/>
          <w:spacing w:val="0"/>
          <w:sz w:val="32"/>
          <w:szCs w:val="32"/>
          <w:lang w:eastAsia="zh-CN"/>
        </w:rPr>
        <w:t>评定</w:t>
      </w:r>
      <w:r>
        <w:rPr>
          <w:rFonts w:hint="eastAsia" w:ascii="仿宋" w:hAnsi="仿宋" w:eastAsia="仿宋" w:cs="仿宋"/>
          <w:spacing w:val="0"/>
          <w:sz w:val="32"/>
          <w:szCs w:val="32"/>
        </w:rPr>
        <w:t>学业奖学金</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博士一年级新生中</w:t>
      </w:r>
      <w:r>
        <w:rPr>
          <w:rFonts w:hint="eastAsia" w:ascii="仿宋" w:hAnsi="仿宋" w:eastAsia="仿宋" w:cs="仿宋"/>
          <w:spacing w:val="0"/>
          <w:sz w:val="32"/>
          <w:szCs w:val="32"/>
          <w:lang w:eastAsia="zh-CN"/>
        </w:rPr>
        <w:t>是</w:t>
      </w:r>
      <w:r>
        <w:rPr>
          <w:rFonts w:hint="eastAsia" w:ascii="仿宋" w:hAnsi="仿宋" w:eastAsia="仿宋" w:cs="仿宋"/>
          <w:spacing w:val="0"/>
          <w:sz w:val="32"/>
          <w:szCs w:val="32"/>
        </w:rPr>
        <w:t>硕博连读生的，按照博士身份评定。</w:t>
      </w:r>
    </w:p>
    <w:p w14:paraId="4DF47F53">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仿宋" w:hAnsi="仿宋" w:eastAsia="仿宋" w:cs="仿宋"/>
          <w:spacing w:val="0"/>
          <w:sz w:val="32"/>
          <w:szCs w:val="32"/>
        </w:rPr>
        <w:t>直博生和硕博连读生</w:t>
      </w:r>
      <w:r>
        <w:rPr>
          <w:rFonts w:hint="eastAsia" w:ascii="仿宋" w:hAnsi="仿宋" w:eastAsia="仿宋" w:cs="仿宋"/>
          <w:spacing w:val="0"/>
          <w:sz w:val="32"/>
          <w:szCs w:val="32"/>
          <w:lang w:eastAsia="zh-CN"/>
        </w:rPr>
        <w:t>如</w:t>
      </w:r>
      <w:r>
        <w:rPr>
          <w:rFonts w:hint="eastAsia" w:ascii="仿宋" w:hAnsi="仿宋" w:eastAsia="仿宋" w:cs="仿宋"/>
          <w:spacing w:val="0"/>
          <w:sz w:val="32"/>
          <w:szCs w:val="32"/>
        </w:rPr>
        <w:t>申请</w:t>
      </w:r>
      <w:r>
        <w:rPr>
          <w:rFonts w:hint="eastAsia" w:ascii="仿宋" w:hAnsi="仿宋" w:eastAsia="仿宋" w:cs="仿宋"/>
          <w:spacing w:val="0"/>
          <w:sz w:val="32"/>
          <w:szCs w:val="32"/>
          <w:lang w:eastAsia="zh-CN"/>
        </w:rPr>
        <w:t>退</w:t>
      </w:r>
      <w:r>
        <w:rPr>
          <w:rFonts w:hint="eastAsia" w:ascii="仿宋" w:hAnsi="仿宋" w:eastAsia="仿宋" w:cs="仿宋"/>
          <w:spacing w:val="0"/>
          <w:sz w:val="32"/>
          <w:szCs w:val="32"/>
        </w:rPr>
        <w:t>出</w:t>
      </w:r>
      <w:r>
        <w:rPr>
          <w:rFonts w:hint="eastAsia" w:ascii="仿宋" w:hAnsi="仿宋" w:eastAsia="仿宋" w:cs="仿宋"/>
          <w:spacing w:val="0"/>
          <w:sz w:val="32"/>
          <w:szCs w:val="32"/>
          <w:lang w:eastAsia="zh-CN"/>
        </w:rPr>
        <w:t>博士阶段并</w:t>
      </w:r>
      <w:r>
        <w:rPr>
          <w:rFonts w:hint="eastAsia" w:ascii="仿宋" w:hAnsi="仿宋" w:eastAsia="仿宋" w:cs="仿宋"/>
          <w:spacing w:val="0"/>
          <w:sz w:val="32"/>
          <w:szCs w:val="32"/>
        </w:rPr>
        <w:t>转入硕士阶段学习，自批准之日起</w:t>
      </w:r>
      <w:r>
        <w:rPr>
          <w:rFonts w:hint="eastAsia" w:ascii="仿宋" w:hAnsi="仿宋" w:eastAsia="仿宋" w:cs="仿宋"/>
          <w:spacing w:val="0"/>
          <w:sz w:val="32"/>
          <w:szCs w:val="32"/>
          <w:lang w:eastAsia="zh-CN"/>
        </w:rPr>
        <w:t>，仍在硕士基本学制年限内的，</w:t>
      </w:r>
      <w:r>
        <w:rPr>
          <w:rFonts w:hint="eastAsia" w:ascii="仿宋" w:hAnsi="仿宋" w:eastAsia="仿宋" w:cs="仿宋"/>
          <w:spacing w:val="0"/>
          <w:sz w:val="32"/>
          <w:szCs w:val="32"/>
        </w:rPr>
        <w:t>按照硕士</w:t>
      </w:r>
      <w:r>
        <w:rPr>
          <w:rFonts w:hint="eastAsia" w:ascii="仿宋" w:hAnsi="仿宋" w:eastAsia="仿宋" w:cs="仿宋"/>
          <w:spacing w:val="0"/>
          <w:sz w:val="32"/>
          <w:szCs w:val="32"/>
          <w:lang w:eastAsia="zh-CN"/>
        </w:rPr>
        <w:t>生</w:t>
      </w:r>
      <w:r>
        <w:rPr>
          <w:rFonts w:hint="eastAsia" w:ascii="仿宋" w:hAnsi="仿宋" w:eastAsia="仿宋" w:cs="仿宋"/>
          <w:spacing w:val="0"/>
          <w:sz w:val="32"/>
          <w:szCs w:val="32"/>
        </w:rPr>
        <w:t>身份参评</w:t>
      </w:r>
      <w:r>
        <w:rPr>
          <w:rFonts w:hint="eastAsia" w:ascii="仿宋" w:hAnsi="仿宋" w:eastAsia="仿宋" w:cs="仿宋"/>
          <w:spacing w:val="0"/>
          <w:sz w:val="32"/>
          <w:szCs w:val="32"/>
          <w:lang w:eastAsia="zh-CN"/>
        </w:rPr>
        <w:t>；已超出硕士基本学制年限的，不再参评</w:t>
      </w:r>
      <w:r>
        <w:rPr>
          <w:rFonts w:hint="eastAsia" w:ascii="仿宋" w:hAnsi="仿宋" w:eastAsia="仿宋" w:cs="仿宋"/>
          <w:spacing w:val="0"/>
          <w:sz w:val="32"/>
          <w:szCs w:val="32"/>
        </w:rPr>
        <w:t>。直博生攻读至第五学年时并入四年级博士评选。</w:t>
      </w:r>
    </w:p>
    <w:p w14:paraId="6A0EF624">
      <w:pPr>
        <w:kinsoku/>
        <w:spacing w:before="0" w:after="0" w:line="360" w:lineRule="auto"/>
        <w:ind w:left="0" w:leftChars="0" w:right="0" w:rightChars="0" w:firstLineChars="200"/>
        <w:jc w:val="both"/>
        <w:rPr>
          <w:rFonts w:hint="eastAsia" w:ascii="仿宋" w:hAnsi="仿宋" w:eastAsia="仿宋" w:cs="仿宋"/>
          <w:sz w:val="32"/>
          <w:szCs w:val="32"/>
          <w:lang w:eastAsia="zh-CN"/>
        </w:rPr>
      </w:pPr>
      <w:r>
        <w:rPr>
          <w:rFonts w:hint="eastAsia" w:ascii="黑体" w:hAnsi="黑体" w:eastAsia="黑体" w:cs="黑体"/>
          <w:b w:val="0"/>
          <w:bCs w:val="0"/>
          <w:spacing w:val="0"/>
          <w:sz w:val="32"/>
          <w:szCs w:val="32"/>
        </w:rPr>
        <w:t>第七条</w:t>
      </w:r>
      <w:r>
        <w:rPr>
          <w:rFonts w:hint="eastAsia" w:ascii="黑体" w:hAnsi="黑体" w:eastAsia="黑体" w:cs="黑体"/>
          <w:spacing w:val="0"/>
          <w:sz w:val="32"/>
          <w:szCs w:val="32"/>
        </w:rPr>
        <w:t xml:space="preserve"> </w:t>
      </w:r>
      <w:r>
        <w:rPr>
          <w:rFonts w:hint="eastAsia" w:ascii="仿宋" w:hAnsi="仿宋" w:eastAsia="仿宋" w:cs="仿宋"/>
          <w:spacing w:val="0"/>
          <w:sz w:val="32"/>
          <w:szCs w:val="32"/>
        </w:rPr>
        <w:t>上一学年内休学1学期（秋季学期含寒假，春季学期含暑假）者</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不参加本学年评选，学业奖学金按照同级别最低标准发放；上一学年内休学1学期（秋季学期含寒假，春季学期含暑假）以上者</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不参加本学年评选</w:t>
      </w:r>
      <w:r>
        <w:rPr>
          <w:rFonts w:hint="eastAsia" w:ascii="仿宋" w:hAnsi="仿宋" w:eastAsia="仿宋" w:cs="仿宋"/>
          <w:spacing w:val="0"/>
          <w:sz w:val="32"/>
          <w:szCs w:val="32"/>
          <w:lang w:eastAsia="zh-CN"/>
        </w:rPr>
        <w:t>；评审期间休学者，参加本学年评审，学业奖学金待复学后补发；保留入学资格新生待恢复学籍后参加当年评选。</w:t>
      </w:r>
    </w:p>
    <w:p w14:paraId="623808A3">
      <w:pPr>
        <w:kinsoku/>
        <w:spacing w:before="0" w:after="0" w:line="360" w:lineRule="auto"/>
        <w:ind w:left="0" w:leftChars="0" w:right="0" w:rightChars="0" w:firstLineChars="200"/>
        <w:jc w:val="both"/>
        <w:rPr>
          <w:rFonts w:hint="eastAsia" w:ascii="仿宋" w:hAnsi="仿宋" w:eastAsia="仿宋" w:cs="仿宋"/>
          <w:sz w:val="32"/>
          <w:szCs w:val="32"/>
          <w:highlight w:val="none"/>
        </w:rPr>
      </w:pPr>
      <w:r>
        <w:rPr>
          <w:rFonts w:hint="eastAsia" w:ascii="黑体" w:hAnsi="黑体" w:eastAsia="黑体" w:cs="黑体"/>
          <w:b w:val="0"/>
          <w:bCs w:val="0"/>
          <w:sz w:val="32"/>
          <w:szCs w:val="32"/>
        </w:rPr>
        <w:t>第八条</w:t>
      </w:r>
      <w:r>
        <w:rPr>
          <w:rFonts w:hint="eastAsia" w:ascii="仿宋" w:hAnsi="仿宋" w:eastAsia="仿宋" w:cs="仿宋"/>
          <w:sz w:val="32"/>
          <w:szCs w:val="32"/>
        </w:rPr>
        <w:t xml:space="preserve"> 入选卓越工程师学院培养项目的研究生，在企业进行专业实践满一年且专业实践考核成绩合格者，学业奖学金按所获评等级标准的1.2倍发放。</w:t>
      </w:r>
    </w:p>
    <w:p w14:paraId="5862B0D0">
      <w:pPr>
        <w:kinsoku/>
        <w:spacing w:before="0" w:after="0" w:line="360" w:lineRule="auto"/>
        <w:ind w:left="0" w:leftChars="0" w:right="0" w:rightChars="0" w:firstLineChars="200"/>
        <w:jc w:val="both"/>
        <w:rPr>
          <w:rFonts w:hint="eastAsia" w:ascii="仿宋" w:hAnsi="仿宋" w:eastAsia="仿宋" w:cs="仿宋"/>
          <w:spacing w:val="0"/>
          <w:sz w:val="32"/>
          <w:szCs w:val="32"/>
          <w:highlight w:val="none"/>
          <w:lang w:eastAsia="zh-CN"/>
        </w:rPr>
      </w:pPr>
      <w:r>
        <w:rPr>
          <w:rFonts w:hint="eastAsia" w:ascii="仿宋" w:hAnsi="仿宋" w:eastAsia="仿宋" w:cs="仿宋"/>
          <w:sz w:val="32"/>
          <w:szCs w:val="32"/>
          <w:lang w:eastAsia="zh-CN"/>
        </w:rPr>
        <w:t>增</w:t>
      </w:r>
      <w:r>
        <w:rPr>
          <w:rFonts w:hint="eastAsia" w:ascii="黑体" w:hAnsi="黑体" w:eastAsia="黑体" w:cs="黑体"/>
          <w:b w:val="0"/>
          <w:bCs w:val="0"/>
          <w:spacing w:val="0"/>
          <w:sz w:val="32"/>
          <w:szCs w:val="32"/>
        </w:rPr>
        <w:t>第九条第</w:t>
      </w:r>
      <w:r>
        <w:rPr>
          <w:rFonts w:hint="eastAsia" w:ascii="黑体" w:hAnsi="黑体" w:eastAsia="黑体" w:cs="黑体"/>
          <w:b w:val="0"/>
          <w:bCs w:val="0"/>
          <w:spacing w:val="0"/>
          <w:sz w:val="32"/>
          <w:szCs w:val="32"/>
          <w:lang w:eastAsia="zh-CN"/>
        </w:rPr>
        <w:t>十</w:t>
      </w:r>
      <w:r>
        <w:rPr>
          <w:rFonts w:hint="eastAsia" w:ascii="黑体" w:hAnsi="黑体" w:eastAsia="黑体" w:cs="黑体"/>
          <w:b w:val="0"/>
          <w:bCs w:val="0"/>
          <w:spacing w:val="0"/>
          <w:sz w:val="32"/>
          <w:szCs w:val="32"/>
        </w:rPr>
        <w:t>条</w:t>
      </w:r>
      <w:r>
        <w:rPr>
          <w:rFonts w:hint="eastAsia" w:ascii="仿宋" w:hAnsi="仿宋" w:eastAsia="仿宋" w:cs="仿宋"/>
          <w:spacing w:val="0"/>
          <w:sz w:val="32"/>
          <w:szCs w:val="32"/>
        </w:rPr>
        <w:t xml:space="preserve"> 截</w:t>
      </w:r>
      <w:r>
        <w:rPr>
          <w:rFonts w:hint="eastAsia" w:ascii="仿宋" w:hAnsi="仿宋" w:eastAsia="仿宋" w:cs="仿宋"/>
          <w:spacing w:val="0"/>
          <w:sz w:val="32"/>
          <w:szCs w:val="32"/>
          <w:lang w:eastAsia="zh-CN"/>
        </w:rPr>
        <w:t>至</w:t>
      </w:r>
      <w:r>
        <w:rPr>
          <w:rFonts w:hint="eastAsia" w:ascii="仿宋" w:hAnsi="仿宋" w:eastAsia="仿宋" w:cs="仿宋"/>
          <w:spacing w:val="0"/>
          <w:sz w:val="32"/>
          <w:szCs w:val="32"/>
        </w:rPr>
        <w:t>学院初评时</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未按时缴纳学费或</w:t>
      </w:r>
      <w:r>
        <w:rPr>
          <w:rFonts w:hint="eastAsia" w:ascii="仿宋" w:hAnsi="仿宋" w:eastAsia="仿宋" w:cs="仿宋"/>
          <w:spacing w:val="0"/>
          <w:sz w:val="32"/>
          <w:szCs w:val="32"/>
          <w:lang w:eastAsia="zh-CN"/>
        </w:rPr>
        <w:t>未按要求办理学费缓交手续者，取消当年学业奖学金参评资格。</w:t>
      </w:r>
    </w:p>
    <w:p w14:paraId="384BE9EA">
      <w:pPr>
        <w:kinsoku/>
        <w:spacing w:before="0" w:after="0" w:line="360" w:lineRule="auto"/>
        <w:ind w:left="0" w:leftChars="0" w:right="0" w:rightChars="0" w:firstLineChars="600"/>
        <w:jc w:val="both"/>
        <w:rPr>
          <w:rFonts w:hint="eastAsia" w:ascii="黑体" w:hAnsi="黑体" w:eastAsia="黑体" w:cs="黑体"/>
          <w:sz w:val="32"/>
          <w:szCs w:val="32"/>
        </w:rPr>
      </w:pPr>
      <w:r>
        <w:rPr>
          <w:rFonts w:hint="eastAsia" w:ascii="仿宋" w:hAnsi="仿宋" w:eastAsia="仿宋" w:cs="仿宋"/>
          <w:spacing w:val="0"/>
          <w:sz w:val="32"/>
          <w:szCs w:val="32"/>
          <w:highlight w:val="yellow"/>
          <w:lang w:eastAsia="zh-CN"/>
        </w:rPr>
        <w:t>受处分消定取除了）</w:t>
      </w:r>
      <w:r>
        <w:rPr>
          <w:rFonts w:hint="eastAsia" w:ascii="黑体" w:hAnsi="黑体" w:eastAsia="黑体" w:cs="黑体"/>
          <w:spacing w:val="0"/>
          <w:sz w:val="32"/>
          <w:szCs w:val="32"/>
        </w:rPr>
        <w:t>第十一条</w:t>
      </w:r>
      <w:r>
        <w:rPr>
          <w:rFonts w:hint="eastAsia" w:ascii="仿宋" w:hAnsi="仿宋" w:eastAsia="仿宋" w:cs="仿宋"/>
          <w:spacing w:val="0"/>
          <w:sz w:val="32"/>
          <w:szCs w:val="32"/>
        </w:rPr>
        <w:t xml:space="preserve"> 学校统筹研究生国家奖学金、研究生学业奖学金以及其他研究生奖学金的评审和发放工作。</w:t>
      </w:r>
      <w:r>
        <w:rPr>
          <w:rFonts w:hint="eastAsia" w:ascii="仿宋" w:hAnsi="仿宋" w:eastAsia="仿宋" w:cs="仿宋"/>
          <w:spacing w:val="0"/>
          <w:sz w:val="32"/>
          <w:szCs w:val="32"/>
          <w:highlight w:val="yellow"/>
          <w:lang w:eastAsia="zh-CN"/>
        </w:rPr>
        <w:t>（新增）</w:t>
      </w:r>
      <w:r>
        <w:rPr>
          <w:rFonts w:hint="eastAsia" w:ascii="黑体" w:hAnsi="黑体" w:eastAsia="黑体" w:cs="黑体"/>
          <w:b w:val="0"/>
          <w:bCs w:val="0"/>
          <w:spacing w:val="0"/>
          <w:sz w:val="32"/>
          <w:szCs w:val="32"/>
        </w:rPr>
        <w:t>第三章</w:t>
      </w:r>
      <w:r>
        <w:rPr>
          <w:rFonts w:hint="eastAsia" w:ascii="黑体" w:hAnsi="黑体" w:eastAsia="黑体" w:cs="黑体"/>
          <w:spacing w:val="0"/>
          <w:sz w:val="32"/>
          <w:szCs w:val="32"/>
        </w:rPr>
        <w:t xml:space="preserve">  </w:t>
      </w:r>
      <w:r>
        <w:rPr>
          <w:rFonts w:hint="eastAsia" w:ascii="黑体" w:hAnsi="黑体" w:eastAsia="黑体" w:cs="黑体"/>
          <w:b w:val="0"/>
          <w:bCs w:val="0"/>
          <w:spacing w:val="0"/>
          <w:sz w:val="32"/>
          <w:szCs w:val="32"/>
        </w:rPr>
        <w:t>评审组织与程序</w:t>
      </w:r>
    </w:p>
    <w:p w14:paraId="70066EC4">
      <w:pPr>
        <w:kinsoku/>
        <w:spacing w:before="0" w:after="0" w:line="360" w:lineRule="auto"/>
        <w:ind w:left="0" w:leftChars="0" w:right="0" w:rightChars="0" w:firstLineChars="200"/>
        <w:jc w:val="both"/>
        <w:rPr>
          <w:rFonts w:hint="eastAsia" w:ascii="仿宋" w:hAnsi="仿宋" w:eastAsia="仿宋" w:cs="仿宋"/>
          <w:spacing w:val="0"/>
          <w:sz w:val="32"/>
          <w:szCs w:val="32"/>
        </w:rPr>
      </w:pPr>
      <w:r>
        <w:rPr>
          <w:rFonts w:hint="eastAsia" w:ascii="黑体" w:hAnsi="黑体" w:eastAsia="黑体" w:cs="黑体"/>
          <w:b w:val="0"/>
          <w:bCs w:val="0"/>
          <w:spacing w:val="0"/>
          <w:sz w:val="32"/>
          <w:szCs w:val="32"/>
        </w:rPr>
        <w:t>第十</w:t>
      </w:r>
      <w:r>
        <w:rPr>
          <w:rFonts w:hint="eastAsia" w:ascii="黑体" w:hAnsi="黑体" w:eastAsia="黑体" w:cs="黑体"/>
          <w:b w:val="0"/>
          <w:bCs w:val="0"/>
          <w:spacing w:val="0"/>
          <w:sz w:val="32"/>
          <w:szCs w:val="32"/>
          <w:lang w:eastAsia="zh-CN"/>
        </w:rPr>
        <w:t>二</w:t>
      </w:r>
      <w:r>
        <w:rPr>
          <w:rFonts w:hint="eastAsia" w:ascii="黑体" w:hAnsi="黑体" w:eastAsia="黑体" w:cs="黑体"/>
          <w:b w:val="0"/>
          <w:bCs w:val="0"/>
          <w:spacing w:val="0"/>
          <w:sz w:val="32"/>
          <w:szCs w:val="32"/>
        </w:rPr>
        <w:t>条</w:t>
      </w:r>
      <w:r>
        <w:rPr>
          <w:rFonts w:hint="eastAsia" w:ascii="仿宋" w:hAnsi="仿宋" w:eastAsia="仿宋" w:cs="仿宋"/>
          <w:spacing w:val="0"/>
          <w:sz w:val="32"/>
          <w:szCs w:val="32"/>
        </w:rPr>
        <w:t xml:space="preserve"> 学院成立研究生学业奖学金评审委员会，由学院</w:t>
      </w:r>
      <w:r>
        <w:rPr>
          <w:rFonts w:hint="eastAsia" w:ascii="仿宋" w:hAnsi="仿宋" w:eastAsia="仿宋" w:cs="仿宋"/>
          <w:spacing w:val="0"/>
          <w:sz w:val="32"/>
          <w:szCs w:val="32"/>
          <w:lang w:eastAsia="zh-CN"/>
        </w:rPr>
        <w:t>主要领导</w:t>
      </w:r>
      <w:r>
        <w:rPr>
          <w:rFonts w:hint="eastAsia" w:ascii="仿宋" w:hAnsi="仿宋" w:eastAsia="仿宋" w:cs="仿宋"/>
          <w:spacing w:val="0"/>
          <w:sz w:val="32"/>
          <w:szCs w:val="32"/>
        </w:rPr>
        <w:t>任主任委员</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分管研究生工作的副书记、副院长任副主任委员</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研究生导师代表（其中学科带头人必须参加）、研究生代表任委员，负责本学院研究生学业奖学金的评审工作。</w:t>
      </w:r>
    </w:p>
    <w:p w14:paraId="0D004787">
      <w:pPr>
        <w:kinsoku/>
        <w:spacing w:before="0" w:after="0" w:line="360" w:lineRule="auto"/>
        <w:ind w:left="0" w:leftChars="0" w:right="0" w:rightChars="0" w:firstLineChars="200"/>
        <w:jc w:val="both"/>
        <w:rPr>
          <w:rFonts w:hint="eastAsia" w:ascii="仿宋" w:hAnsi="仿宋" w:eastAsia="仿宋" w:cs="仿宋"/>
          <w:spacing w:val="0"/>
          <w:sz w:val="32"/>
          <w:szCs w:val="32"/>
          <w:lang w:eastAsia="zh-CN"/>
        </w:rPr>
      </w:pPr>
      <w:r>
        <w:rPr>
          <w:rFonts w:hint="eastAsia" w:ascii="黑体" w:hAnsi="黑体" w:eastAsia="黑体" w:cs="黑体"/>
          <w:b w:val="0"/>
          <w:bCs w:val="0"/>
          <w:spacing w:val="0"/>
          <w:sz w:val="32"/>
          <w:szCs w:val="32"/>
        </w:rPr>
        <w:t>第十</w:t>
      </w:r>
      <w:r>
        <w:rPr>
          <w:rFonts w:hint="eastAsia" w:ascii="黑体" w:hAnsi="黑体" w:eastAsia="黑体" w:cs="黑体"/>
          <w:b w:val="0"/>
          <w:bCs w:val="0"/>
          <w:spacing w:val="0"/>
          <w:sz w:val="32"/>
          <w:szCs w:val="32"/>
          <w:lang w:eastAsia="zh-CN"/>
        </w:rPr>
        <w:t>三</w:t>
      </w:r>
      <w:r>
        <w:rPr>
          <w:rFonts w:hint="eastAsia" w:ascii="黑体" w:hAnsi="黑体" w:eastAsia="黑体" w:cs="黑体"/>
          <w:b w:val="0"/>
          <w:bCs w:val="0"/>
          <w:spacing w:val="0"/>
          <w:sz w:val="32"/>
          <w:szCs w:val="32"/>
        </w:rPr>
        <w:t>条</w:t>
      </w:r>
      <w:r>
        <w:rPr>
          <w:rFonts w:hint="eastAsia" w:ascii="黑体" w:hAnsi="黑体" w:eastAsia="黑体" w:cs="黑体"/>
          <w:b w:val="0"/>
          <w:bCs w:val="0"/>
          <w:spacing w:val="0"/>
          <w:sz w:val="32"/>
          <w:szCs w:val="32"/>
          <w:lang w:eastAsia="zh-CN"/>
        </w:rPr>
        <w:t xml:space="preserve"> </w:t>
      </w:r>
      <w:r>
        <w:rPr>
          <w:rFonts w:hint="eastAsia" w:ascii="仿宋" w:hAnsi="仿宋" w:eastAsia="仿宋" w:cs="仿宋"/>
          <w:spacing w:val="0"/>
          <w:sz w:val="32"/>
          <w:szCs w:val="32"/>
          <w:lang w:eastAsia="zh-CN"/>
        </w:rPr>
        <w:t>学院研究生学业奖学金评审委员会确定本单位获奖学生名单后，提交学院党政联席会议审议并在本学院内进行不少于5个工作日的公示，公示无异议后，提交学校研究生学业奖学金评审工作领导小组审定，审定结果在全校范围内进行不少于 5 个工作日的公示。</w:t>
      </w:r>
    </w:p>
    <w:p w14:paraId="7718FFF9">
      <w:pPr>
        <w:kinsoku/>
        <w:spacing w:before="0" w:after="0" w:line="360" w:lineRule="auto"/>
        <w:ind w:left="0" w:leftChars="0" w:right="0" w:rightChars="0" w:firstLineChars="200"/>
        <w:jc w:val="both"/>
        <w:rPr>
          <w:rFonts w:hint="eastAsia" w:ascii="仿宋" w:hAnsi="仿宋" w:eastAsia="仿宋" w:cs="仿宋"/>
          <w:spacing w:val="0"/>
          <w:sz w:val="32"/>
          <w:szCs w:val="32"/>
          <w:lang w:eastAsia="zh-CN"/>
        </w:rPr>
      </w:pPr>
      <w:r>
        <w:rPr>
          <w:rFonts w:hint="eastAsia" w:ascii="黑体" w:hAnsi="黑体" w:eastAsia="黑体" w:cs="黑体"/>
          <w:b w:val="0"/>
          <w:bCs w:val="0"/>
          <w:spacing w:val="0"/>
          <w:sz w:val="32"/>
          <w:szCs w:val="32"/>
        </w:rPr>
        <w:t>第十</w:t>
      </w:r>
      <w:r>
        <w:rPr>
          <w:rFonts w:hint="eastAsia" w:ascii="黑体" w:hAnsi="黑体" w:eastAsia="黑体" w:cs="黑体"/>
          <w:b w:val="0"/>
          <w:bCs w:val="0"/>
          <w:spacing w:val="0"/>
          <w:sz w:val="32"/>
          <w:szCs w:val="32"/>
          <w:lang w:eastAsia="zh-CN"/>
        </w:rPr>
        <w:t>四</w:t>
      </w:r>
      <w:r>
        <w:rPr>
          <w:rFonts w:hint="eastAsia" w:ascii="黑体" w:hAnsi="黑体" w:eastAsia="黑体" w:cs="黑体"/>
          <w:b w:val="0"/>
          <w:bCs w:val="0"/>
          <w:spacing w:val="0"/>
          <w:sz w:val="32"/>
          <w:szCs w:val="32"/>
        </w:rPr>
        <w:t>条</w:t>
      </w:r>
      <w:r>
        <w:rPr>
          <w:rFonts w:hint="eastAsia" w:ascii="方正公文仿宋" w:hAnsi="方正公文仿宋" w:eastAsia="方正公文仿宋" w:cs="方正公文仿宋"/>
          <w:b w:val="0"/>
          <w:bCs w:val="0"/>
          <w:spacing w:val="0"/>
          <w:sz w:val="32"/>
          <w:szCs w:val="32"/>
          <w:lang w:eastAsia="zh-CN"/>
        </w:rPr>
        <w:t xml:space="preserve"> </w:t>
      </w:r>
      <w:r>
        <w:rPr>
          <w:rFonts w:hint="eastAsia" w:ascii="仿宋" w:hAnsi="仿宋" w:eastAsia="仿宋" w:cs="仿宋"/>
          <w:spacing w:val="0"/>
          <w:sz w:val="32"/>
          <w:szCs w:val="32"/>
          <w:lang w:eastAsia="zh-CN"/>
        </w:rPr>
        <w:t>对研究生学业奖学金评审结果有异议的，可在学院公示阶段向本学院评审委员会提出申诉，学院评审委员会应及时研究并予以答复。如申诉人对学院的答复仍存在异议，可在学校公示阶段向学校研究生学业奖学金评审工作领导小组提请裁决。</w:t>
      </w:r>
    </w:p>
    <w:p w14:paraId="160F65BD">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黑体" w:hAnsi="黑体" w:eastAsia="黑体" w:cs="黑体"/>
          <w:b w:val="0"/>
          <w:bCs w:val="0"/>
          <w:spacing w:val="0"/>
          <w:sz w:val="32"/>
          <w:szCs w:val="32"/>
        </w:rPr>
        <w:t>第十</w:t>
      </w:r>
      <w:r>
        <w:rPr>
          <w:rFonts w:hint="eastAsia" w:ascii="黑体" w:hAnsi="黑体" w:eastAsia="黑体" w:cs="黑体"/>
          <w:b w:val="0"/>
          <w:bCs w:val="0"/>
          <w:spacing w:val="0"/>
          <w:sz w:val="32"/>
          <w:szCs w:val="32"/>
          <w:lang w:eastAsia="zh-CN"/>
        </w:rPr>
        <w:t>五</w:t>
      </w:r>
      <w:r>
        <w:rPr>
          <w:rFonts w:hint="eastAsia" w:ascii="黑体" w:hAnsi="黑体" w:eastAsia="黑体" w:cs="黑体"/>
          <w:b w:val="0"/>
          <w:bCs w:val="0"/>
          <w:spacing w:val="0"/>
          <w:sz w:val="32"/>
          <w:szCs w:val="32"/>
        </w:rPr>
        <w:t>条</w:t>
      </w:r>
      <w:r>
        <w:rPr>
          <w:rFonts w:hint="eastAsia" w:ascii="仿宋" w:hAnsi="仿宋" w:eastAsia="仿宋" w:cs="仿宋"/>
          <w:spacing w:val="0"/>
          <w:sz w:val="32"/>
          <w:szCs w:val="32"/>
        </w:rPr>
        <w:t xml:space="preserve"> 学业奖学金评审结果以综合素质评定成绩为依据。</w:t>
      </w:r>
    </w:p>
    <w:p w14:paraId="59935433">
      <w:pPr>
        <w:kinsoku/>
        <w:spacing w:before="0" w:after="0" w:line="360" w:lineRule="auto"/>
        <w:ind w:left="0" w:leftChars="0" w:right="0" w:rightChars="0" w:firstLineChars="200"/>
        <w:jc w:val="both"/>
        <w:rPr>
          <w:rFonts w:hint="eastAsia" w:ascii="仿宋" w:hAnsi="仿宋" w:eastAsia="仿宋" w:cs="仿宋"/>
          <w:sz w:val="32"/>
          <w:szCs w:val="32"/>
          <w:highlight w:val="none"/>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六</w:t>
      </w:r>
      <w:r>
        <w:rPr>
          <w:rFonts w:hint="eastAsia" w:ascii="黑体" w:hAnsi="黑体" w:eastAsia="黑体" w:cs="黑体"/>
          <w:b w:val="0"/>
          <w:bCs w:val="0"/>
          <w:sz w:val="32"/>
          <w:szCs w:val="32"/>
        </w:rPr>
        <w:t>条</w:t>
      </w:r>
      <w:r>
        <w:rPr>
          <w:rFonts w:hint="eastAsia" w:ascii="仿宋" w:hAnsi="仿宋" w:eastAsia="仿宋" w:cs="仿宋"/>
          <w:sz w:val="32"/>
          <w:szCs w:val="32"/>
        </w:rPr>
        <w:t xml:space="preserve"> 学院按学校划分的比例，将学业奖学金名额按照年级分配到各</w:t>
      </w:r>
      <w:r>
        <w:rPr>
          <w:rFonts w:hint="eastAsia" w:ascii="仿宋" w:hAnsi="仿宋" w:eastAsia="仿宋" w:cs="仿宋"/>
          <w:spacing w:val="0"/>
          <w:sz w:val="32"/>
          <w:szCs w:val="32"/>
        </w:rPr>
        <w:t>专业</w:t>
      </w:r>
      <w:r>
        <w:rPr>
          <w:rFonts w:hint="eastAsia" w:ascii="仿宋" w:hAnsi="仿宋" w:eastAsia="仿宋" w:cs="仿宋"/>
          <w:spacing w:val="0"/>
          <w:sz w:val="32"/>
          <w:szCs w:val="32"/>
          <w:lang w:eastAsia="zh-CN"/>
        </w:rPr>
        <w:t>或专业方向</w:t>
      </w:r>
      <w:r>
        <w:rPr>
          <w:rFonts w:hint="eastAsia" w:ascii="仿宋" w:hAnsi="仿宋" w:eastAsia="仿宋" w:cs="仿宋"/>
          <w:spacing w:val="0"/>
          <w:sz w:val="32"/>
          <w:szCs w:val="32"/>
        </w:rPr>
        <w:t>（学硕为机械类(含动力工程与工程热物理)、控制类；专硕为机械</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控制工程）。按照学生综合素质分值高低，划分获奖等级，如有分值相同者</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参考综合素质评定中Z的成绩</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如Z分相同</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依次参考Z2、Z3、Z1、D、J的成绩，如仍相同则由评审委员会讨论确定。</w:t>
      </w:r>
    </w:p>
    <w:p w14:paraId="146709B1">
      <w:pPr>
        <w:kinsoku/>
        <w:spacing w:before="0" w:after="0" w:line="360" w:lineRule="auto"/>
        <w:ind w:left="0" w:leftChars="0" w:right="0" w:rightChars="0" w:firstLineChars="200"/>
        <w:jc w:val="both"/>
        <w:rPr>
          <w:rFonts w:hint="eastAsia" w:ascii="仿宋" w:hAnsi="仿宋" w:eastAsia="仿宋" w:cs="仿宋"/>
          <w:sz w:val="32"/>
          <w:szCs w:val="32"/>
          <w:highlight w:val="none"/>
          <w:lang w:eastAsia="zh-CN"/>
        </w:rPr>
      </w:pPr>
      <w:r>
        <w:rPr>
          <w:rFonts w:hint="eastAsia" w:ascii="黑体" w:hAnsi="黑体" w:eastAsia="黑体" w:cs="黑体"/>
          <w:b w:val="0"/>
          <w:bCs w:val="0"/>
          <w:spacing w:val="0"/>
          <w:sz w:val="32"/>
          <w:szCs w:val="32"/>
        </w:rPr>
        <w:t>第十</w:t>
      </w:r>
      <w:r>
        <w:rPr>
          <w:rFonts w:hint="eastAsia" w:ascii="黑体" w:hAnsi="黑体" w:eastAsia="黑体" w:cs="黑体"/>
          <w:b w:val="0"/>
          <w:bCs w:val="0"/>
          <w:spacing w:val="0"/>
          <w:sz w:val="32"/>
          <w:szCs w:val="32"/>
          <w:lang w:eastAsia="zh-CN"/>
        </w:rPr>
        <w:t>七</w:t>
      </w:r>
      <w:r>
        <w:rPr>
          <w:rFonts w:hint="eastAsia" w:ascii="黑体" w:hAnsi="黑体" w:eastAsia="黑体" w:cs="黑体"/>
          <w:b w:val="0"/>
          <w:bCs w:val="0"/>
          <w:spacing w:val="0"/>
          <w:sz w:val="32"/>
          <w:szCs w:val="32"/>
        </w:rPr>
        <w:t>条</w:t>
      </w:r>
      <w:r>
        <w:rPr>
          <w:rFonts w:hint="eastAsia" w:ascii="仿宋" w:hAnsi="仿宋" w:eastAsia="仿宋" w:cs="仿宋"/>
          <w:spacing w:val="0"/>
          <w:sz w:val="32"/>
          <w:szCs w:val="32"/>
        </w:rPr>
        <w:t xml:space="preserve"> 在评选年度内</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有旷考</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课程不及格者</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奖学金等级降一档。</w:t>
      </w:r>
      <w:r>
        <w:rPr>
          <w:rFonts w:hint="eastAsia" w:ascii="仿宋" w:hAnsi="仿宋" w:eastAsia="仿宋" w:cs="仿宋"/>
          <w:spacing w:val="0"/>
          <w:sz w:val="32"/>
          <w:szCs w:val="32"/>
          <w:lang w:eastAsia="zh-CN"/>
        </w:rPr>
        <w:t>院</w:t>
      </w:r>
    </w:p>
    <w:p w14:paraId="37B62E48">
      <w:pPr>
        <w:kinsoku/>
        <w:spacing w:before="0" w:after="0" w:line="360" w:lineRule="auto"/>
        <w:ind w:left="0" w:leftChars="0" w:right="0" w:rightChars="0" w:firstLineChars="200"/>
        <w:jc w:val="both"/>
        <w:rPr>
          <w:rFonts w:hint="eastAsia" w:ascii="仿宋" w:hAnsi="仿宋" w:eastAsia="仿宋" w:cs="仿宋"/>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八</w:t>
      </w:r>
      <w:r>
        <w:rPr>
          <w:rFonts w:hint="eastAsia" w:ascii="黑体" w:hAnsi="黑体" w:eastAsia="黑体" w:cs="黑体"/>
          <w:b w:val="0"/>
          <w:bCs w:val="0"/>
          <w:sz w:val="32"/>
          <w:szCs w:val="32"/>
        </w:rPr>
        <w:t>条</w:t>
      </w:r>
      <w:r>
        <w:rPr>
          <w:rFonts w:hint="eastAsia" w:ascii="仿宋" w:hAnsi="仿宋" w:eastAsia="仿宋" w:cs="仿宋"/>
          <w:sz w:val="32"/>
          <w:szCs w:val="32"/>
        </w:rPr>
        <w:t xml:space="preserve"> 学院研究生学业奖学金评审委员会确定本院获奖学生名单</w:t>
      </w:r>
      <w:r>
        <w:rPr>
          <w:rFonts w:hint="eastAsia" w:ascii="仿宋" w:hAnsi="仿宋" w:eastAsia="仿宋" w:cs="仿宋"/>
          <w:sz w:val="32"/>
          <w:szCs w:val="32"/>
          <w:lang w:eastAsia="zh-CN"/>
        </w:rPr>
        <w:t>，</w:t>
      </w:r>
      <w:r>
        <w:rPr>
          <w:rFonts w:hint="eastAsia" w:ascii="仿宋" w:hAnsi="仿宋" w:eastAsia="仿宋" w:cs="仿宋"/>
          <w:sz w:val="32"/>
          <w:szCs w:val="32"/>
        </w:rPr>
        <w:t>在</w:t>
      </w:r>
      <w:r>
        <w:rPr>
          <w:rFonts w:hint="eastAsia" w:ascii="仿宋" w:hAnsi="仿宋" w:eastAsia="仿宋" w:cs="仿宋"/>
          <w:spacing w:val="0"/>
          <w:sz w:val="32"/>
          <w:szCs w:val="32"/>
        </w:rPr>
        <w:t>学院内进行不少于5个工作日的公示。公示无异议后</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提交学校研究生学业奖学金评审工作领导小组审定。</w:t>
      </w:r>
    </w:p>
    <w:p w14:paraId="3A0EE19F">
      <w:pPr>
        <w:kinsoku/>
        <w:spacing w:before="0" w:after="0" w:line="360" w:lineRule="auto"/>
        <w:ind w:left="0" w:leftChars="0" w:right="0" w:rightChars="0" w:firstLineChars="200"/>
        <w:jc w:val="both"/>
        <w:rPr>
          <w:rFonts w:hint="eastAsia" w:ascii="仿宋" w:hAnsi="仿宋" w:eastAsia="仿宋" w:cs="仿宋"/>
          <w:spacing w:val="0"/>
          <w:sz w:val="32"/>
          <w:szCs w:val="32"/>
          <w:highlight w:val="none"/>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九</w:t>
      </w:r>
      <w:r>
        <w:rPr>
          <w:rFonts w:hint="eastAsia" w:ascii="黑体" w:hAnsi="黑体" w:eastAsia="黑体" w:cs="黑体"/>
          <w:b w:val="0"/>
          <w:bCs w:val="0"/>
          <w:sz w:val="32"/>
          <w:szCs w:val="32"/>
        </w:rPr>
        <w:t>条</w:t>
      </w:r>
      <w:r>
        <w:rPr>
          <w:rFonts w:hint="eastAsia" w:ascii="方正公文仿宋" w:hAnsi="方正公文仿宋" w:eastAsia="方正公文仿宋" w:cs="方正公文仿宋"/>
          <w:sz w:val="32"/>
          <w:szCs w:val="32"/>
        </w:rPr>
        <w:t xml:space="preserve"> </w:t>
      </w:r>
      <w:r>
        <w:rPr>
          <w:rFonts w:hint="eastAsia" w:ascii="仿宋" w:hAnsi="仿宋" w:eastAsia="仿宋" w:cs="仿宋"/>
          <w:sz w:val="32"/>
          <w:szCs w:val="32"/>
        </w:rPr>
        <w:t>对研究生学业奖学金评审结果有异议的，可在学院公示阶段向</w:t>
      </w:r>
      <w:r>
        <w:rPr>
          <w:rFonts w:hint="eastAsia" w:ascii="仿宋" w:hAnsi="仿宋" w:eastAsia="仿宋" w:cs="仿宋"/>
          <w:spacing w:val="0"/>
          <w:sz w:val="32"/>
          <w:szCs w:val="32"/>
        </w:rPr>
        <w:t>学院评审委员会提出申诉</w:t>
      </w:r>
      <w:r>
        <w:rPr>
          <w:rFonts w:hint="eastAsia" w:ascii="仿宋" w:hAnsi="仿宋" w:eastAsia="仿宋" w:cs="仿宋"/>
          <w:spacing w:val="0"/>
          <w:sz w:val="32"/>
          <w:szCs w:val="32"/>
          <w:lang w:eastAsia="zh-CN"/>
        </w:rPr>
        <w:t>，</w:t>
      </w:r>
      <w:r>
        <w:rPr>
          <w:rFonts w:hint="eastAsia" w:ascii="仿宋" w:hAnsi="仿宋" w:eastAsia="仿宋" w:cs="仿宋"/>
          <w:spacing w:val="0"/>
          <w:sz w:val="32"/>
          <w:szCs w:val="32"/>
        </w:rPr>
        <w:t>评审委员及时研究并予以答复</w:t>
      </w:r>
      <w:r>
        <w:rPr>
          <w:rFonts w:hint="eastAsia" w:ascii="仿宋" w:hAnsi="仿宋" w:eastAsia="仿宋" w:cs="仿宋"/>
          <w:spacing w:val="0"/>
          <w:sz w:val="32"/>
          <w:szCs w:val="32"/>
          <w:lang w:eastAsia="zh-CN"/>
        </w:rPr>
        <w:t>。</w:t>
      </w:r>
      <w:r>
        <w:rPr>
          <w:rFonts w:hint="eastAsia" w:ascii="仿宋" w:hAnsi="仿宋" w:eastAsia="仿宋" w:cs="仿宋"/>
          <w:sz w:val="32"/>
          <w:szCs w:val="32"/>
        </w:rPr>
        <w:t>如申诉人对学院的答复仍存在异议</w:t>
      </w:r>
      <w:r>
        <w:rPr>
          <w:rFonts w:hint="eastAsia" w:ascii="仿宋" w:hAnsi="仿宋" w:eastAsia="仿宋" w:cs="仿宋"/>
          <w:sz w:val="32"/>
          <w:szCs w:val="32"/>
          <w:lang w:eastAsia="zh-CN"/>
        </w:rPr>
        <w:t>，</w:t>
      </w:r>
      <w:r>
        <w:rPr>
          <w:rFonts w:hint="eastAsia" w:ascii="仿宋" w:hAnsi="仿宋" w:eastAsia="仿宋" w:cs="仿宋"/>
          <w:sz w:val="32"/>
          <w:szCs w:val="32"/>
        </w:rPr>
        <w:t>可在学校公示阶段向学校</w:t>
      </w:r>
      <w:r>
        <w:rPr>
          <w:rFonts w:hint="eastAsia" w:ascii="仿宋" w:hAnsi="仿宋" w:eastAsia="仿宋" w:cs="仿宋"/>
          <w:spacing w:val="0"/>
          <w:sz w:val="32"/>
          <w:szCs w:val="32"/>
        </w:rPr>
        <w:t>研究生学业奖学金评审工作领导小组提请裁决。</w:t>
      </w:r>
    </w:p>
    <w:p w14:paraId="6E7C0D72">
      <w:pPr>
        <w:keepNext w:val="0"/>
        <w:keepLines w:val="0"/>
        <w:widowControl/>
        <w:suppressLineNumbers w:val="0"/>
        <w:spacing w:line="360" w:lineRule="auto"/>
        <w:ind w:left="0" w:leftChars="0" w:right="0" w:rightChars="0" w:firstLineChars="200"/>
        <w:jc w:val="left"/>
        <w:rPr>
          <w:rFonts w:hint="eastAsia" w:ascii="方正仿宋_GB2312" w:hAnsi="方正仿宋_GB2312" w:eastAsia="方正仿宋_GB2312" w:cs="方正仿宋_GB2312"/>
          <w:color w:val="000000"/>
          <w:kern w:val="0"/>
          <w:sz w:val="31"/>
          <w:szCs w:val="31"/>
          <w:highlight w:val="none"/>
          <w:lang w:eastAsia="zh-CN" w:bidi="ar"/>
        </w:rPr>
      </w:pPr>
      <w:r>
        <w:rPr>
          <w:rFonts w:hint="eastAsia" w:ascii="黑体" w:hAnsi="黑体" w:eastAsia="黑体" w:cs="黑体"/>
          <w:b w:val="0"/>
          <w:bCs w:val="0"/>
          <w:color w:val="000000"/>
          <w:kern w:val="0"/>
          <w:sz w:val="31"/>
          <w:szCs w:val="31"/>
          <w:lang w:eastAsia="zh-CN" w:bidi="ar"/>
        </w:rPr>
        <w:t>第二十条</w:t>
      </w:r>
      <w:r>
        <w:rPr>
          <w:rFonts w:hint="eastAsia" w:ascii="仿宋" w:hAnsi="仿宋" w:eastAsia="仿宋" w:cs="仿宋"/>
          <w:b w:val="0"/>
          <w:bCs w:val="0"/>
          <w:color w:val="000000"/>
          <w:kern w:val="0"/>
          <w:sz w:val="32"/>
          <w:szCs w:val="32"/>
          <w:lang w:eastAsia="zh-CN" w:bidi="ar"/>
        </w:rPr>
        <w:t xml:space="preserve"> </w:t>
      </w:r>
      <w:r>
        <w:rPr>
          <w:rFonts w:hint="eastAsia" w:ascii="仿宋" w:hAnsi="仿宋" w:eastAsia="仿宋" w:cs="仿宋"/>
          <w:color w:val="000000"/>
          <w:kern w:val="0"/>
          <w:sz w:val="32"/>
          <w:szCs w:val="32"/>
          <w:lang w:eastAsia="zh-CN" w:bidi="ar"/>
        </w:rPr>
        <w:t>研究生学业奖学金的评审工作应坚持公正、平、公开、择优的原则，严格执行国家有关教育法规，杜绝弄虚作假。</w:t>
      </w:r>
    </w:p>
    <w:p w14:paraId="2B295259">
      <w:pPr>
        <w:keepNext w:val="0"/>
        <w:keepLines w:val="0"/>
        <w:widowControl/>
        <w:suppressLineNumbers w:val="0"/>
        <w:spacing w:line="360" w:lineRule="auto"/>
        <w:ind w:left="0" w:leftChars="0" w:right="0" w:rightChars="0" w:firstLineChars="700"/>
        <w:jc w:val="left"/>
        <w:rPr>
          <w:rFonts w:hint="eastAsia" w:ascii="黑体" w:hAnsi="黑体" w:eastAsia="黑体" w:cs="黑体"/>
          <w:sz w:val="32"/>
          <w:szCs w:val="32"/>
        </w:rPr>
      </w:pPr>
      <w:r>
        <w:rPr>
          <w:rFonts w:hint="eastAsia" w:ascii="黑体" w:hAnsi="黑体" w:eastAsia="黑体" w:cs="黑体"/>
          <w:b/>
          <w:bCs/>
          <w:color w:val="000000"/>
          <w:kern w:val="0"/>
          <w:sz w:val="32"/>
          <w:szCs w:val="32"/>
          <w:lang w:eastAsia="zh-CN" w:bidi="ar"/>
        </w:rPr>
        <w:t>第四章 资金管理及其他</w:t>
      </w:r>
    </w:p>
    <w:p w14:paraId="1B826857">
      <w:pPr>
        <w:kinsoku/>
        <w:spacing w:before="0" w:after="0" w:line="360" w:lineRule="auto"/>
        <w:ind w:left="0" w:leftChars="0" w:right="0" w:rightChars="0" w:firstLineChars="200"/>
        <w:jc w:val="both"/>
        <w:rPr>
          <w:rFonts w:hint="eastAsia" w:ascii="仿宋" w:hAnsi="仿宋" w:eastAsia="仿宋" w:cs="仿宋"/>
          <w:spacing w:val="0"/>
          <w:sz w:val="32"/>
          <w:szCs w:val="32"/>
          <w:highlight w:val="none"/>
        </w:rPr>
      </w:pPr>
      <w:r>
        <w:rPr>
          <w:rFonts w:hint="eastAsia" w:ascii="黑体" w:hAnsi="黑体" w:eastAsia="黑体" w:cs="黑体"/>
          <w:spacing w:val="0"/>
          <w:sz w:val="32"/>
          <w:szCs w:val="32"/>
          <w:lang w:eastAsia="zh-CN"/>
        </w:rPr>
        <w:t>第二十一条</w:t>
      </w:r>
      <w:r>
        <w:rPr>
          <w:rFonts w:hint="eastAsia" w:ascii="仿宋" w:hAnsi="仿宋" w:eastAsia="仿宋" w:cs="仿宋"/>
          <w:spacing w:val="0"/>
          <w:sz w:val="32"/>
          <w:szCs w:val="32"/>
          <w:lang w:eastAsia="zh-CN"/>
        </w:rPr>
        <w:t xml:space="preserve"> 学校统筹管理财政拨款、学费收入，每年12月31日前将本学年研究生学业奖学金一次性发放给获奖学生，并将研究生获得学业奖学金情况记入学生学籍档案。 </w:t>
      </w:r>
    </w:p>
    <w:p w14:paraId="588EF92B">
      <w:pPr>
        <w:kinsoku/>
        <w:spacing w:before="0" w:after="0" w:line="360" w:lineRule="auto"/>
        <w:ind w:left="0" w:leftChars="0" w:right="0" w:rightChars="0" w:firstLineChars="200"/>
        <w:jc w:val="both"/>
        <w:rPr>
          <w:rFonts w:hint="eastAsia" w:ascii="仿宋" w:hAnsi="仿宋" w:eastAsia="仿宋" w:cs="仿宋"/>
          <w:spacing w:val="0"/>
          <w:sz w:val="32"/>
          <w:szCs w:val="32"/>
          <w:highlight w:val="none"/>
        </w:rPr>
      </w:pPr>
      <w:r>
        <w:rPr>
          <w:rFonts w:hint="eastAsia" w:ascii="黑体" w:hAnsi="黑体" w:eastAsia="黑体" w:cs="黑体"/>
          <w:spacing w:val="0"/>
          <w:sz w:val="32"/>
          <w:szCs w:val="32"/>
          <w:lang w:eastAsia="zh-CN"/>
        </w:rPr>
        <w:t>第二十二条</w:t>
      </w:r>
      <w:r>
        <w:rPr>
          <w:rFonts w:hint="eastAsia" w:ascii="仿宋" w:hAnsi="仿宋" w:eastAsia="仿宋" w:cs="仿宋"/>
          <w:spacing w:val="0"/>
          <w:sz w:val="32"/>
          <w:szCs w:val="32"/>
          <w:lang w:eastAsia="zh-CN"/>
        </w:rPr>
        <w:t xml:space="preserve"> 研究生因故退学且已发放当年度学业奖学金 的，自批准之日起，应按月计退回学业奖学金。学习时间按 每年十个月计算，不足一个月的部分，在15日以内的，退还当月费用；超过15日的，当月费用无需退还。 </w:t>
      </w:r>
    </w:p>
    <w:p w14:paraId="5D4EFDF0">
      <w:pPr>
        <w:kinsoku/>
        <w:spacing w:before="0" w:after="0" w:line="360" w:lineRule="auto"/>
        <w:ind w:left="0" w:leftChars="0" w:right="0" w:rightChars="0" w:firstLineChars="200"/>
        <w:jc w:val="both"/>
        <w:rPr>
          <w:rFonts w:hint="eastAsia" w:ascii="仿宋" w:hAnsi="仿宋" w:eastAsia="仿宋" w:cs="仿宋"/>
          <w:spacing w:val="0"/>
          <w:sz w:val="32"/>
          <w:szCs w:val="32"/>
          <w:highlight w:val="none"/>
        </w:rPr>
      </w:pPr>
      <w:r>
        <w:rPr>
          <w:rFonts w:hint="eastAsia" w:ascii="黑体" w:hAnsi="黑体" w:eastAsia="黑体" w:cs="黑体"/>
          <w:spacing w:val="0"/>
          <w:sz w:val="32"/>
          <w:szCs w:val="32"/>
          <w:lang w:eastAsia="zh-CN"/>
        </w:rPr>
        <w:t>第二十三条</w:t>
      </w:r>
      <w:r>
        <w:rPr>
          <w:rFonts w:hint="eastAsia" w:ascii="仿宋" w:hAnsi="仿宋" w:eastAsia="仿宋" w:cs="仿宋"/>
          <w:spacing w:val="0"/>
          <w:sz w:val="32"/>
          <w:szCs w:val="32"/>
          <w:lang w:eastAsia="zh-CN"/>
        </w:rPr>
        <w:t xml:space="preserve"> 直博生和硕博连读生申请退出连读转入硕士 阶段学习，已发放的当年度学业奖学金应按照与硕士二、三 年级二等学业奖学金相应的差额退回。 </w:t>
      </w:r>
    </w:p>
    <w:p w14:paraId="39218965">
      <w:pPr>
        <w:kinsoku/>
        <w:spacing w:before="0" w:after="0" w:line="360" w:lineRule="auto"/>
        <w:ind w:left="0" w:leftChars="0" w:right="0" w:rightChars="0" w:firstLineChars="200"/>
        <w:jc w:val="both"/>
        <w:rPr>
          <w:rFonts w:hint="eastAsia" w:ascii="仿宋" w:hAnsi="仿宋" w:eastAsia="仿宋" w:cs="仿宋"/>
          <w:spacing w:val="0"/>
          <w:sz w:val="32"/>
          <w:szCs w:val="32"/>
        </w:rPr>
      </w:pPr>
      <w:r>
        <w:rPr>
          <w:rFonts w:hint="eastAsia" w:ascii="黑体" w:hAnsi="黑体" w:eastAsia="黑体" w:cs="黑体"/>
          <w:spacing w:val="0"/>
          <w:sz w:val="32"/>
          <w:szCs w:val="32"/>
          <w:lang w:eastAsia="zh-CN"/>
        </w:rPr>
        <w:t>第二十四条</w:t>
      </w:r>
      <w:r>
        <w:rPr>
          <w:rFonts w:hint="eastAsia" w:ascii="仿宋" w:hAnsi="仿宋" w:eastAsia="仿宋" w:cs="仿宋"/>
          <w:spacing w:val="0"/>
          <w:sz w:val="32"/>
          <w:szCs w:val="32"/>
          <w:lang w:eastAsia="zh-CN"/>
        </w:rPr>
        <w:t xml:space="preserve"> 在学业奖学金评审和公示期间，因违反校纪 校规受到处分者或尚在处分期内者，降低或取消已评定的学金等级，其中受到警告处分的降低到最低等，受到严重 警以上处分的取消参评资格或已评定等级。评审之后，如发现研究生的参评材料存在剽窃、造假等学术不端的，已发放的学业奖学金要予以收回。 </w:t>
      </w:r>
      <w:r>
        <w:rPr>
          <w:rFonts w:hint="eastAsia" w:ascii="仿宋" w:hAnsi="仿宋" w:eastAsia="仿宋" w:cs="仿宋"/>
          <w:spacing w:val="0"/>
          <w:sz w:val="32"/>
          <w:szCs w:val="32"/>
          <w:highlight w:val="yellow"/>
          <w:lang w:eastAsia="zh-CN"/>
        </w:rPr>
        <w:t>（以上）</w:t>
      </w:r>
    </w:p>
    <w:p w14:paraId="5DBC7D3D">
      <w:pPr>
        <w:kinsoku/>
        <w:spacing w:before="0" w:after="0" w:line="360" w:lineRule="auto"/>
        <w:ind w:left="0" w:leftChars="0" w:right="0" w:rightChars="0" w:firstLineChars="900"/>
        <w:jc w:val="both"/>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第五章  附则</w:t>
      </w:r>
    </w:p>
    <w:p w14:paraId="24BF1F3F">
      <w:pPr>
        <w:kinsoku/>
        <w:spacing w:before="0" w:after="0" w:line="360" w:lineRule="auto"/>
        <w:ind w:left="0" w:leftChars="0" w:right="0" w:rightChars="0" w:firstLineChars="200"/>
        <w:jc w:val="both"/>
        <w:rPr>
          <w:rFonts w:hint="eastAsia" w:ascii="仿宋" w:hAnsi="仿宋" w:eastAsia="仿宋" w:cs="仿宋"/>
          <w:b w:val="0"/>
          <w:bCs w:val="0"/>
          <w:spacing w:val="0"/>
          <w:sz w:val="32"/>
          <w:szCs w:val="32"/>
          <w:lang w:eastAsia="zh-CN"/>
        </w:rPr>
      </w:pPr>
      <w:r>
        <w:rPr>
          <w:rFonts w:hint="eastAsia" w:ascii="黑体" w:hAnsi="黑体" w:eastAsia="黑体" w:cs="黑体"/>
          <w:b w:val="0"/>
          <w:bCs w:val="0"/>
          <w:spacing w:val="0"/>
          <w:sz w:val="32"/>
          <w:szCs w:val="32"/>
          <w:lang w:eastAsia="zh-CN"/>
        </w:rPr>
        <w:t>第二十五条</w:t>
      </w:r>
      <w:r>
        <w:rPr>
          <w:rFonts w:hint="eastAsia" w:ascii="仿宋" w:hAnsi="仿宋" w:eastAsia="仿宋" w:cs="仿宋"/>
          <w:b w:val="0"/>
          <w:bCs w:val="0"/>
          <w:spacing w:val="0"/>
          <w:sz w:val="32"/>
          <w:szCs w:val="32"/>
          <w:lang w:eastAsia="zh-CN"/>
        </w:rPr>
        <w:t xml:space="preserve"> 研究生学业奖学金每年评审一次。</w:t>
      </w:r>
    </w:p>
    <w:p w14:paraId="1DD972CB">
      <w:pPr>
        <w:kinsoku/>
        <w:spacing w:before="0" w:after="0" w:line="360" w:lineRule="auto"/>
        <w:ind w:left="0" w:leftChars="0" w:right="0" w:rightChars="0" w:firstLineChars="200"/>
        <w:jc w:val="both"/>
        <w:rPr>
          <w:rFonts w:hint="eastAsia" w:ascii="仿宋" w:hAnsi="仿宋" w:eastAsia="仿宋" w:cs="仿宋"/>
          <w:b w:val="0"/>
          <w:bCs w:val="0"/>
          <w:spacing w:val="0"/>
          <w:sz w:val="32"/>
          <w:szCs w:val="32"/>
          <w:lang w:eastAsia="zh-CN"/>
        </w:rPr>
      </w:pPr>
      <w:r>
        <w:rPr>
          <w:rFonts w:hint="eastAsia" w:ascii="黑体" w:hAnsi="黑体" w:eastAsia="黑体" w:cs="黑体"/>
          <w:b w:val="0"/>
          <w:bCs w:val="0"/>
          <w:spacing w:val="0"/>
          <w:sz w:val="32"/>
          <w:szCs w:val="32"/>
          <w:lang w:eastAsia="zh-CN"/>
        </w:rPr>
        <w:t>第二十六条</w:t>
      </w:r>
      <w:r>
        <w:rPr>
          <w:rFonts w:hint="eastAsia" w:ascii="仿宋" w:hAnsi="仿宋" w:eastAsia="仿宋" w:cs="仿宋"/>
          <w:b w:val="0"/>
          <w:bCs w:val="0"/>
          <w:spacing w:val="0"/>
          <w:sz w:val="32"/>
          <w:szCs w:val="32"/>
          <w:lang w:eastAsia="zh-CN"/>
        </w:rPr>
        <w:t xml:space="preserve"> 本办法由机械电子工程学院负责解释。</w:t>
      </w:r>
    </w:p>
    <w:p w14:paraId="0BB283CB">
      <w:pPr>
        <w:kinsoku/>
        <w:spacing w:before="0" w:after="0" w:line="360" w:lineRule="auto"/>
        <w:ind w:left="0" w:leftChars="0" w:right="0" w:rightChars="0" w:firstLineChars="200"/>
        <w:jc w:val="both"/>
      </w:pPr>
      <w:r>
        <w:rPr>
          <w:rFonts w:hint="eastAsia" w:ascii="黑体" w:hAnsi="黑体" w:eastAsia="黑体" w:cs="黑体"/>
          <w:b w:val="0"/>
          <w:bCs w:val="0"/>
          <w:spacing w:val="0"/>
          <w:sz w:val="32"/>
          <w:szCs w:val="32"/>
          <w:lang w:eastAsia="zh-CN"/>
        </w:rPr>
        <w:t>第二十七条</w:t>
      </w:r>
      <w:r>
        <w:rPr>
          <w:rFonts w:hint="eastAsia" w:ascii="仿宋" w:hAnsi="仿宋" w:eastAsia="仿宋" w:cs="仿宋"/>
          <w:b w:val="0"/>
          <w:bCs w:val="0"/>
          <w:spacing w:val="0"/>
          <w:sz w:val="32"/>
          <w:szCs w:val="32"/>
          <w:lang w:eastAsia="zh-CN"/>
        </w:rPr>
        <w:t xml:space="preserve"> 本办法自公布之日起实行。</w:t>
      </w:r>
    </w:p>
    <w:sectPr>
      <w:pgSz w:w="11906" w:h="16838"/>
      <w:pgMar w:top="1431" w:right="1785" w:bottom="0" w:left="1785" w:header="0" w:footer="0" w:gutter="0"/>
      <w:pgNumType w:fmt="decimal"/>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w:panose1 w:val="020B0502040504020204"/>
    <w:charset w:val="86"/>
    <w:family w:val="auto"/>
    <w:pitch w:val="default"/>
    <w:sig w:usb0="E00002FF" w:usb1="4000201F" w:usb2="08000029" w:usb3="00100000" w:csb0="0000019F" w:csb1="00000000"/>
  </w:font>
  <w:font w:name="Liberation Serif">
    <w:panose1 w:val="02020603050405020304"/>
    <w:charset w:val="01"/>
    <w:family w:val="roman"/>
    <w:pitch w:val="default"/>
    <w:sig w:usb0="E0000AFF" w:usb1="500078FF" w:usb2="00000021" w:usb3="00000000" w:csb0="600001BF" w:csb1="DFF70000"/>
  </w:font>
  <w:font w:name="Arial">
    <w:panose1 w:val="020B0604020202020204"/>
    <w:charset w:val="00"/>
    <w:family w:val="swiss"/>
    <w:pitch w:val="default"/>
    <w:sig w:usb0="E0002EFF" w:usb1="C000785B" w:usb2="00000009" w:usb3="00000000" w:csb0="400001FF" w:csb1="FFFF0000"/>
  </w:font>
  <w:font w:name="Liberation Sans">
    <w:panose1 w:val="020B0604020202020204"/>
    <w:charset w:val="01"/>
    <w:family w:val="swiss"/>
    <w:pitch w:val="default"/>
    <w:sig w:usb0="E0000AFF" w:usb1="500078FF" w:usb2="00000021" w:usb3="00000000" w:csb0="600001BF" w:csb1="DFF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公文仿宋">
    <w:altName w:val="仿宋"/>
    <w:panose1 w:val="00000000000000000000"/>
    <w:charset w:val="86"/>
    <w:family w:val="auto"/>
    <w:pitch w:val="default"/>
    <w:sig w:usb0="00000000" w:usb1="00000000" w:usb2="00000000" w:usb3="00000000" w:csb0="00000000" w:csb1="00000000"/>
  </w:font>
  <w:font w:name="方正仿宋_GB2312">
    <w:altName w:val="仿宋"/>
    <w:panose1 w:val="00000000000000000000"/>
    <w:charset w:val="86"/>
    <w:family w:val="auto"/>
    <w:pitch w:val="default"/>
    <w:sig w:usb0="00000000" w:usb1="00000000" w:usb2="00000000" w:usb3="00000000" w:csb0="00000000" w:csb1="00000000"/>
  </w:font>
  <w:font w:name="KSOFE11A506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00"/>
      <w:numFmt w:val="decimal"/>
      <w:suff w:val="nothing"/>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trackRevisions w:val="1"/>
  <w:documentProtection w:enforcement="0"/>
  <w:defaultTabStop w:val="500"/>
  <w:autoHyphenation/>
  <w:hyphenationZone w:val="0"/>
  <w:footnotePr>
    <w:footnote w:id="0"/>
    <w:footnote w:id="1"/>
  </w:footnotePr>
  <w:endnotePr>
    <w:endnote w:id="0"/>
    <w:endnote w:id="1"/>
  </w:endnotePr>
  <w:compat>
    <w:doNotExpandShiftReturn/>
    <w:useFELayout/>
    <w:compatSetting w:name="compatibilityMode" w:uri="http://schemas.microsoft.com/office/word" w:val="11"/>
  </w:compat>
  <w:docVars>
    <w:docVar w:name="commondata" w:val="eyJoZGlkIjoiNGJjMTk2YTYwMWEzMWJkZWM5YzBlODBmMmIxOTA2MzkifQ=="/>
  </w:docVars>
  <w:rsids>
    <w:rsidRoot w:val="00000000"/>
    <w:rsid w:val="19F94B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ans" w:cs="Noto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kinsoku w:val="0"/>
      <w:autoSpaceDE w:val="0"/>
      <w:bidi w:val="0"/>
      <w:snapToGrid w:val="0"/>
      <w:spacing w:line="240" w:lineRule="auto"/>
      <w:jc w:val="left"/>
      <w:textAlignment w:val="baseline"/>
    </w:pPr>
    <w:rPr>
      <w:rFonts w:ascii="Arial" w:hAnsi="Arial" w:eastAsia="Arial" w:cs="Arial"/>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i/>
      <w:iCs/>
      <w:sz w:val="24"/>
      <w:szCs w:val="24"/>
    </w:rPr>
  </w:style>
  <w:style w:type="paragraph" w:styleId="3">
    <w:name w:val="Body Text"/>
    <w:basedOn w:val="1"/>
    <w:qFormat/>
    <w:uiPriority w:val="0"/>
    <w:rPr>
      <w:rFonts w:ascii="宋体" w:hAnsi="宋体" w:eastAsia="宋体" w:cs="宋体"/>
      <w:sz w:val="24"/>
      <w:szCs w:val="24"/>
    </w:rPr>
  </w:style>
  <w:style w:type="paragraph" w:styleId="4">
    <w:name w:val="List"/>
    <w:basedOn w:val="3"/>
    <w:qFormat/>
    <w:uiPriority w:val="0"/>
  </w:style>
  <w:style w:type="character" w:customStyle="1" w:styleId="7">
    <w:name w:val="默认段落字体1"/>
    <w:qFormat/>
    <w:uiPriority w:val="0"/>
  </w:style>
  <w:style w:type="paragraph" w:customStyle="1" w:styleId="8">
    <w:name w:val="Heading"/>
    <w:basedOn w:val="1"/>
    <w:next w:val="3"/>
    <w:qFormat/>
    <w:uiPriority w:val="0"/>
    <w:pPr>
      <w:keepNext/>
      <w:spacing w:before="240" w:after="120"/>
    </w:pPr>
    <w:rPr>
      <w:rFonts w:ascii="Liberation Sans" w:hAnsi="Liberation Sans" w:eastAsia="Noto Sans" w:cs="Noto Sans"/>
      <w:sz w:val="28"/>
      <w:szCs w:val="28"/>
    </w:rPr>
  </w:style>
  <w:style w:type="paragraph" w:customStyle="1" w:styleId="9">
    <w:name w:val="Index"/>
    <w:basedOn w:val="1"/>
    <w:qFormat/>
    <w:uiPriority w:val="0"/>
    <w:pPr>
      <w:suppressLineNumbers/>
    </w:pPr>
  </w:style>
  <w:style w:type="paragraph" w:customStyle="1" w:styleId="10">
    <w:name w:val="批注文字1"/>
    <w:basedOn w:val="1"/>
    <w:qFormat/>
    <w:uiPriority w:val="0"/>
    <w:pPr>
      <w:jc w:val="left"/>
    </w:pPr>
  </w:style>
  <w:style w:type="paragraph" w:customStyle="1" w:styleId="11">
    <w:name w:val="普通(网站)1"/>
    <w:basedOn w:val="1"/>
    <w:qFormat/>
    <w:uiPriority w:val="0"/>
    <w:pPr>
      <w:spacing w:before="100" w:after="100"/>
      <w:ind w:left="0" w:right="0" w:firstLine="0"/>
      <w:jc w:val="left"/>
    </w:pPr>
    <w:rPr>
      <w:kern w:val="0"/>
      <w:sz w:val="24"/>
      <w:lang w:eastAsia="zh-CN" w:bidi="ar"/>
    </w:rPr>
  </w:style>
  <w:style w:type="paragraph" w:customStyle="1" w:styleId="12">
    <w:name w:val="Table Text"/>
    <w:basedOn w:val="1"/>
    <w:qFormat/>
    <w:uiPriority w:val="0"/>
    <w:rPr>
      <w:rFonts w:ascii="宋体" w:hAnsi="宋体" w:eastAsia="宋体" w:cs="宋体"/>
      <w:sz w:val="24"/>
      <w:szCs w:val="24"/>
    </w:rPr>
  </w:style>
  <w:style w:type="paragraph" w:customStyle="1" w:styleId="13">
    <w:name w:val="Table Contents"/>
    <w:basedOn w:val="1"/>
    <w:qFormat/>
    <w:uiPriority w:val="0"/>
    <w:pPr>
      <w:widowControl w:val="0"/>
      <w:suppressLineNumbers/>
    </w:pPr>
  </w:style>
  <w:style w:type="paragraph" w:customStyle="1" w:styleId="14">
    <w:name w:val="Table Heading"/>
    <w:basedOn w:val="13"/>
    <w:qFormat/>
    <w:uiPriority w:val="0"/>
    <w:pPr>
      <w:suppressLineNumbers/>
      <w:jc w:val="center"/>
    </w:pPr>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2592</Words>
  <Characters>2654</Characters>
  <TotalTime>5100</TotalTime>
  <ScaleCrop>false</ScaleCrop>
  <LinksUpToDate>false</LinksUpToDate>
  <CharactersWithSpaces>2704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2023-04-10T05:54:00Z</dcterms:created>
  <dc:creator>Administrator</dc:creator>
  <cp:lastModifiedBy>Yin</cp:lastModifiedBy>
  <dcterms:modified xsi:type="dcterms:W3CDTF">2026-09-21T10:17:38Z</dcterms:modified>
  <dc:title>机械电子工程学院研究生综合素质评定细则</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2025-06-29T21:59:10Z</vt:filetime>
  </property>
  <property fmtid="{D5CDD505-2E9C-101B-9397-08002B2CF9AE}" pid="4" name="ICV">
    <vt:lpwstr>48CE39AB2D0E465BBE3703CDD76C6988_13</vt:lpwstr>
  </property>
  <property fmtid="{D5CDD505-2E9C-101B-9397-08002B2CF9AE}" pid="5" name="KSOProductBuildVer">
    <vt:lpwstr>2052-12.1.0.28505</vt:lpwstr>
  </property>
  <property fmtid="{D5CDD505-2E9C-101B-9397-08002B2CF9AE}" pid="6" name="KSOTemplateDocerSaveRecord">
    <vt:lpwstr>eyJoZGlkIjoiZGFhYzE3NzFiY2RlOWY3MTk5NGUzN2ZmNTU5NjJmZDkiLCJ1c2VySWQiOiI1OTQxMzUwMDQifQ==</vt:lpwstr>
  </property>
</Properties>
</file>